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37" w:rsidRDefault="00773022" w:rsidP="001D5237">
      <w:pPr>
        <w:jc w:val="center"/>
        <w:rPr>
          <w:rFonts w:ascii="Times New Roman" w:hAnsi="Times New Roman" w:cs="Times New Roman"/>
          <w:b/>
          <w:sz w:val="36"/>
          <w:u w:val="single"/>
        </w:rPr>
      </w:pPr>
      <w:r w:rsidRPr="0023265C">
        <w:rPr>
          <w:rFonts w:ascii="Times New Roman" w:hAnsi="Times New Roman" w:cs="Times New Roman"/>
          <w:b/>
          <w:sz w:val="36"/>
          <w:u w:val="single"/>
        </w:rPr>
        <w:t xml:space="preserve">Obrazloženje o izvršenju financijskog plana </w:t>
      </w:r>
    </w:p>
    <w:p w:rsidR="00815E4F" w:rsidRPr="0023265C" w:rsidRDefault="009D67A0" w:rsidP="001D5237">
      <w:pPr>
        <w:jc w:val="center"/>
        <w:rPr>
          <w:rFonts w:ascii="Times New Roman" w:hAnsi="Times New Roman" w:cs="Times New Roman"/>
          <w:b/>
          <w:sz w:val="36"/>
          <w:u w:val="single"/>
        </w:rPr>
      </w:pPr>
      <w:r>
        <w:rPr>
          <w:rFonts w:ascii="Times New Roman" w:hAnsi="Times New Roman" w:cs="Times New Roman"/>
          <w:b/>
          <w:sz w:val="36"/>
          <w:u w:val="single"/>
        </w:rPr>
        <w:t>od 01.01.2021. do 30.06.2021</w:t>
      </w:r>
      <w:r w:rsidR="001D5237">
        <w:rPr>
          <w:rFonts w:ascii="Times New Roman" w:hAnsi="Times New Roman" w:cs="Times New Roman"/>
          <w:b/>
          <w:sz w:val="36"/>
          <w:u w:val="single"/>
        </w:rPr>
        <w:t>.</w:t>
      </w:r>
    </w:p>
    <w:p w:rsidR="00773022" w:rsidRDefault="00773022" w:rsidP="00773022">
      <w:pPr>
        <w:rPr>
          <w:rFonts w:ascii="Times New Roman" w:hAnsi="Times New Roman" w:cs="Times New Roman"/>
          <w:b/>
          <w:sz w:val="32"/>
          <w:u w:val="single"/>
        </w:rPr>
      </w:pPr>
    </w:p>
    <w:p w:rsidR="00773022" w:rsidRDefault="007331FE" w:rsidP="00773022">
      <w:pPr>
        <w:rPr>
          <w:rFonts w:ascii="Times New Roman" w:hAnsi="Times New Roman" w:cs="Times New Roman"/>
          <w:b/>
          <w:sz w:val="32"/>
          <w:u w:val="single"/>
        </w:rPr>
      </w:pPr>
      <w:r>
        <w:rPr>
          <w:rFonts w:ascii="Times New Roman" w:hAnsi="Times New Roman" w:cs="Times New Roman"/>
          <w:b/>
          <w:sz w:val="32"/>
          <w:u w:val="single"/>
        </w:rPr>
        <w:t>Izvor financiranja Grad Vinkovci</w:t>
      </w:r>
    </w:p>
    <w:p w:rsidR="00F169FB" w:rsidRDefault="00F169FB" w:rsidP="0093535A">
      <w:pPr>
        <w:jc w:val="both"/>
        <w:rPr>
          <w:rFonts w:ascii="Times New Roman" w:hAnsi="Times New Roman" w:cs="Times New Roman"/>
          <w:sz w:val="24"/>
          <w:szCs w:val="24"/>
        </w:rPr>
      </w:pPr>
      <w:r>
        <w:rPr>
          <w:rFonts w:ascii="Times New Roman" w:hAnsi="Times New Roman" w:cs="Times New Roman"/>
          <w:sz w:val="24"/>
          <w:szCs w:val="24"/>
        </w:rPr>
        <w:t>Stavke koje Grad Vinkovci financira Glazbenoj školi Josipa Runjanina odnose se na: materijalne i financijske rashode, najamn</w:t>
      </w:r>
      <w:r w:rsidR="001D5237">
        <w:rPr>
          <w:rFonts w:ascii="Times New Roman" w:hAnsi="Times New Roman" w:cs="Times New Roman"/>
          <w:sz w:val="24"/>
          <w:szCs w:val="24"/>
        </w:rPr>
        <w:t xml:space="preserve">ina za lokaciju na kojoj se nalazi Škola zajedno sa režijskim troškovima, te </w:t>
      </w:r>
      <w:r w:rsidR="009D67A0">
        <w:rPr>
          <w:rFonts w:ascii="Times New Roman" w:hAnsi="Times New Roman" w:cs="Times New Roman"/>
          <w:sz w:val="24"/>
          <w:szCs w:val="24"/>
        </w:rPr>
        <w:t xml:space="preserve">nabava glazbenih instrumenata. </w:t>
      </w:r>
      <w:r>
        <w:rPr>
          <w:rFonts w:ascii="Times New Roman" w:hAnsi="Times New Roman" w:cs="Times New Roman"/>
          <w:sz w:val="24"/>
          <w:szCs w:val="24"/>
        </w:rPr>
        <w:t xml:space="preserve"> </w:t>
      </w:r>
    </w:p>
    <w:p w:rsidR="001D5237" w:rsidRDefault="001D5237" w:rsidP="0093535A">
      <w:pPr>
        <w:jc w:val="both"/>
        <w:rPr>
          <w:rFonts w:ascii="Times New Roman" w:hAnsi="Times New Roman" w:cs="Times New Roman"/>
          <w:sz w:val="24"/>
          <w:szCs w:val="24"/>
        </w:rPr>
      </w:pPr>
      <w:r>
        <w:rPr>
          <w:rFonts w:ascii="Times New Roman" w:hAnsi="Times New Roman" w:cs="Times New Roman"/>
          <w:sz w:val="24"/>
          <w:szCs w:val="24"/>
        </w:rPr>
        <w:t xml:space="preserve">Ukupna vrijednost izvršenih prihoda poslovanja od strane Grada Vinkovaca iznosi </w:t>
      </w:r>
      <w:r w:rsidR="00B71309">
        <w:rPr>
          <w:rFonts w:ascii="Times New Roman" w:hAnsi="Times New Roman" w:cs="Times New Roman"/>
          <w:sz w:val="24"/>
          <w:szCs w:val="24"/>
        </w:rPr>
        <w:t>604.621,49</w:t>
      </w:r>
      <w:r>
        <w:rPr>
          <w:rFonts w:ascii="Times New Roman" w:hAnsi="Times New Roman" w:cs="Times New Roman"/>
          <w:sz w:val="24"/>
          <w:szCs w:val="24"/>
        </w:rPr>
        <w:t xml:space="preserve"> kuna, dok je ukupna vrijednost izvršenih rashoda poslovanja </w:t>
      </w:r>
      <w:r w:rsidR="00B71309">
        <w:rPr>
          <w:rFonts w:ascii="Times New Roman" w:hAnsi="Times New Roman" w:cs="Times New Roman"/>
          <w:sz w:val="24"/>
          <w:szCs w:val="24"/>
        </w:rPr>
        <w:t>711.223,72</w:t>
      </w:r>
      <w:r>
        <w:rPr>
          <w:rFonts w:ascii="Times New Roman" w:hAnsi="Times New Roman" w:cs="Times New Roman"/>
          <w:sz w:val="24"/>
          <w:szCs w:val="24"/>
        </w:rPr>
        <w:t xml:space="preserve"> kuna. </w:t>
      </w:r>
    </w:p>
    <w:p w:rsidR="00645558" w:rsidRDefault="00645558" w:rsidP="009C7DC3">
      <w:pPr>
        <w:jc w:val="both"/>
        <w:rPr>
          <w:rFonts w:ascii="Times New Roman" w:hAnsi="Times New Roman" w:cs="Times New Roman"/>
          <w:b/>
          <w:sz w:val="32"/>
          <w:u w:val="single"/>
        </w:rPr>
      </w:pPr>
      <w:r>
        <w:rPr>
          <w:rFonts w:ascii="Times New Roman" w:hAnsi="Times New Roman" w:cs="Times New Roman"/>
          <w:b/>
          <w:sz w:val="32"/>
          <w:u w:val="single"/>
        </w:rPr>
        <w:t>Izvor financiranja Ministarstvo znanosti i obrazovanja</w:t>
      </w:r>
      <w:r w:rsidR="00831C23">
        <w:rPr>
          <w:rFonts w:ascii="Times New Roman" w:hAnsi="Times New Roman" w:cs="Times New Roman"/>
          <w:b/>
          <w:sz w:val="32"/>
          <w:u w:val="single"/>
        </w:rPr>
        <w:t xml:space="preserve"> </w:t>
      </w:r>
      <w:r>
        <w:rPr>
          <w:rFonts w:ascii="Times New Roman" w:hAnsi="Times New Roman" w:cs="Times New Roman"/>
          <w:b/>
          <w:sz w:val="32"/>
          <w:u w:val="single"/>
        </w:rPr>
        <w:t>(državni proračun)</w:t>
      </w:r>
    </w:p>
    <w:p w:rsidR="0003603F" w:rsidRDefault="00645558" w:rsidP="00645558">
      <w:pPr>
        <w:jc w:val="both"/>
        <w:rPr>
          <w:rFonts w:ascii="Times New Roman" w:hAnsi="Times New Roman" w:cs="Times New Roman"/>
          <w:sz w:val="24"/>
          <w:szCs w:val="24"/>
        </w:rPr>
      </w:pPr>
      <w:r>
        <w:rPr>
          <w:rFonts w:ascii="Times New Roman" w:hAnsi="Times New Roman" w:cs="Times New Roman"/>
          <w:sz w:val="24"/>
          <w:szCs w:val="24"/>
        </w:rPr>
        <w:t>Stavke koje Ministarstvo znanosti i obrazovanja financira Glazbenoj školi Josipa Runjanina odnose se na: plaće za djelatnike zaposlene na određeno i neodređeno radno vrijeme, plaće za vanjske suradnike</w:t>
      </w:r>
      <w:r w:rsidR="0003603F">
        <w:rPr>
          <w:rFonts w:ascii="Times New Roman" w:hAnsi="Times New Roman" w:cs="Times New Roman"/>
          <w:sz w:val="24"/>
          <w:szCs w:val="24"/>
        </w:rPr>
        <w:t xml:space="preserve"> (ugovori o djelu)</w:t>
      </w:r>
      <w:r>
        <w:rPr>
          <w:rFonts w:ascii="Times New Roman" w:hAnsi="Times New Roman" w:cs="Times New Roman"/>
          <w:sz w:val="24"/>
          <w:szCs w:val="24"/>
        </w:rPr>
        <w:t>, novčana naknada poslodavca zbog nezapošljavanja osobe s invaliditetom, te nagrade i naknade</w:t>
      </w:r>
      <w:r w:rsidR="00831C23">
        <w:rPr>
          <w:rFonts w:ascii="Times New Roman" w:hAnsi="Times New Roman" w:cs="Times New Roman"/>
          <w:sz w:val="24"/>
          <w:szCs w:val="24"/>
        </w:rPr>
        <w:t xml:space="preserve"> </w:t>
      </w:r>
    </w:p>
    <w:p w:rsidR="00831C23" w:rsidRDefault="00831C23" w:rsidP="00645558">
      <w:pPr>
        <w:jc w:val="both"/>
        <w:rPr>
          <w:rFonts w:ascii="Times New Roman" w:hAnsi="Times New Roman" w:cs="Times New Roman"/>
          <w:sz w:val="24"/>
          <w:szCs w:val="24"/>
        </w:rPr>
      </w:pPr>
      <w:r>
        <w:rPr>
          <w:rFonts w:ascii="Times New Roman" w:hAnsi="Times New Roman" w:cs="Times New Roman"/>
          <w:sz w:val="24"/>
          <w:szCs w:val="24"/>
        </w:rPr>
        <w:t xml:space="preserve">Ukupna vrijednost izvršenih prihoda poslovanja od strane Ministarstva znanosti i obrazovanja iznosi </w:t>
      </w:r>
      <w:r w:rsidR="00B71309">
        <w:rPr>
          <w:rFonts w:ascii="Times New Roman" w:hAnsi="Times New Roman" w:cs="Times New Roman"/>
          <w:sz w:val="24"/>
          <w:szCs w:val="24"/>
        </w:rPr>
        <w:t>3.287.412,60</w:t>
      </w:r>
      <w:r>
        <w:rPr>
          <w:rFonts w:ascii="Times New Roman" w:hAnsi="Times New Roman" w:cs="Times New Roman"/>
          <w:sz w:val="24"/>
          <w:szCs w:val="24"/>
        </w:rPr>
        <w:t xml:space="preserve"> kuna, dok je ukupna vrijednost izvršenih rashoda poslovanja </w:t>
      </w:r>
      <w:r w:rsidR="00B71309">
        <w:rPr>
          <w:rFonts w:ascii="Times New Roman" w:hAnsi="Times New Roman" w:cs="Times New Roman"/>
          <w:sz w:val="24"/>
          <w:szCs w:val="24"/>
        </w:rPr>
        <w:t>3.257.141,00</w:t>
      </w:r>
      <w:r>
        <w:rPr>
          <w:rFonts w:ascii="Times New Roman" w:hAnsi="Times New Roman" w:cs="Times New Roman"/>
          <w:sz w:val="24"/>
          <w:szCs w:val="24"/>
        </w:rPr>
        <w:t xml:space="preserve"> kuna. </w:t>
      </w:r>
    </w:p>
    <w:p w:rsidR="009D3627" w:rsidRDefault="009D3627" w:rsidP="009D3627">
      <w:pPr>
        <w:jc w:val="both"/>
        <w:rPr>
          <w:rFonts w:ascii="Times New Roman" w:hAnsi="Times New Roman" w:cs="Times New Roman"/>
          <w:b/>
          <w:sz w:val="32"/>
          <w:u w:val="single"/>
        </w:rPr>
      </w:pPr>
      <w:r>
        <w:rPr>
          <w:rFonts w:ascii="Times New Roman" w:hAnsi="Times New Roman" w:cs="Times New Roman"/>
          <w:b/>
          <w:sz w:val="32"/>
          <w:u w:val="single"/>
        </w:rPr>
        <w:t>Izvor financiranja vlastiti prihodi</w:t>
      </w:r>
    </w:p>
    <w:p w:rsidR="00B64B4C" w:rsidRDefault="009D3627" w:rsidP="009D3627">
      <w:pPr>
        <w:jc w:val="both"/>
        <w:rPr>
          <w:rFonts w:ascii="Times New Roman" w:hAnsi="Times New Roman" w:cs="Times New Roman"/>
          <w:sz w:val="24"/>
          <w:szCs w:val="24"/>
        </w:rPr>
      </w:pPr>
      <w:r>
        <w:rPr>
          <w:rFonts w:ascii="Times New Roman" w:hAnsi="Times New Roman" w:cs="Times New Roman"/>
          <w:sz w:val="24"/>
          <w:szCs w:val="24"/>
        </w:rPr>
        <w:t xml:space="preserve">Stavke koje vlastiti prihodi financiraju Glazbenoj školi Josipa Runjanina odnose se na: materijalne i financijske rashode, te nabavu nefinancijske imovine. </w:t>
      </w:r>
    </w:p>
    <w:p w:rsidR="00432C44" w:rsidRDefault="00831C23" w:rsidP="009D3627">
      <w:pPr>
        <w:jc w:val="both"/>
        <w:rPr>
          <w:rFonts w:ascii="Times New Roman" w:hAnsi="Times New Roman" w:cs="Times New Roman"/>
          <w:sz w:val="24"/>
          <w:szCs w:val="24"/>
        </w:rPr>
      </w:pPr>
      <w:r>
        <w:rPr>
          <w:rFonts w:ascii="Times New Roman" w:hAnsi="Times New Roman" w:cs="Times New Roman"/>
          <w:sz w:val="24"/>
          <w:szCs w:val="24"/>
        </w:rPr>
        <w:t xml:space="preserve">Ukupna vrijednost izvršenih vlastitih prihoda iznosi </w:t>
      </w:r>
      <w:r w:rsidR="00B71309">
        <w:rPr>
          <w:rFonts w:ascii="Times New Roman" w:hAnsi="Times New Roman" w:cs="Times New Roman"/>
          <w:sz w:val="24"/>
          <w:szCs w:val="24"/>
        </w:rPr>
        <w:t>360.425,89</w:t>
      </w:r>
      <w:r>
        <w:rPr>
          <w:rFonts w:ascii="Times New Roman" w:hAnsi="Times New Roman" w:cs="Times New Roman"/>
          <w:sz w:val="24"/>
          <w:szCs w:val="24"/>
        </w:rPr>
        <w:t xml:space="preserve"> kuna, dok je ukupna vrijednost izvršenih rashoda </w:t>
      </w:r>
      <w:r w:rsidR="00B71309">
        <w:rPr>
          <w:rFonts w:ascii="Times New Roman" w:hAnsi="Times New Roman" w:cs="Times New Roman"/>
          <w:sz w:val="24"/>
          <w:szCs w:val="24"/>
        </w:rPr>
        <w:t>224.574,10</w:t>
      </w:r>
      <w:r>
        <w:rPr>
          <w:rFonts w:ascii="Times New Roman" w:hAnsi="Times New Roman" w:cs="Times New Roman"/>
          <w:sz w:val="24"/>
          <w:szCs w:val="24"/>
        </w:rPr>
        <w:t xml:space="preserve"> kuna. </w:t>
      </w:r>
    </w:p>
    <w:p w:rsidR="00D66ACE" w:rsidRPr="00D66ACE" w:rsidRDefault="00D66ACE" w:rsidP="0003603F">
      <w:pPr>
        <w:jc w:val="both"/>
        <w:rPr>
          <w:rFonts w:ascii="Times New Roman" w:hAnsi="Times New Roman" w:cs="Times New Roman"/>
          <w:b/>
          <w:sz w:val="24"/>
          <w:szCs w:val="24"/>
        </w:rPr>
      </w:pPr>
      <w:r w:rsidRPr="00D66ACE">
        <w:rPr>
          <w:rFonts w:ascii="Times New Roman" w:hAnsi="Times New Roman" w:cs="Times New Roman"/>
          <w:b/>
          <w:sz w:val="24"/>
          <w:szCs w:val="24"/>
        </w:rPr>
        <w:t>Zakonska osnova koja regulira vlastite prihode</w:t>
      </w:r>
    </w:p>
    <w:p w:rsidR="00D66ACE" w:rsidRDefault="00D66ACE" w:rsidP="00D66ACE">
      <w:pPr>
        <w:spacing w:after="0" w:line="240" w:lineRule="auto"/>
        <w:jc w:val="center"/>
        <w:rPr>
          <w:rFonts w:ascii="Times New Roman" w:hAnsi="Times New Roman" w:cs="Times New Roman"/>
          <w:sz w:val="24"/>
        </w:rPr>
      </w:pPr>
      <w:r w:rsidRPr="00D66ACE">
        <w:rPr>
          <w:rFonts w:ascii="Times New Roman" w:hAnsi="Times New Roman" w:cs="Times New Roman"/>
          <w:sz w:val="24"/>
        </w:rPr>
        <w:t>NAMJENSKI PRIHODI I PRIMICI</w:t>
      </w:r>
    </w:p>
    <w:p w:rsidR="00D66ACE" w:rsidRDefault="00D66ACE" w:rsidP="00D66ACE">
      <w:pPr>
        <w:spacing w:after="0" w:line="240" w:lineRule="auto"/>
        <w:jc w:val="center"/>
        <w:rPr>
          <w:rFonts w:ascii="Times New Roman" w:hAnsi="Times New Roman" w:cs="Times New Roman"/>
          <w:sz w:val="24"/>
        </w:rPr>
      </w:pPr>
      <w:r w:rsidRPr="00D66ACE">
        <w:rPr>
          <w:rFonts w:ascii="Times New Roman" w:hAnsi="Times New Roman" w:cs="Times New Roman"/>
          <w:sz w:val="24"/>
        </w:rPr>
        <w:t>Članak 48.</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(1) Namjenski prihodi i primici proračuna jesu pomoći, donacije, prihodi za posebne namjene, prihodi od prodaje ili zamjene imovine u vlasništvu države, odnosno jedinica lokalne i područne (regionalne) samouprave, naknade s naslova osiguranja i namjenski primici od zaduživanja i prodaje dionica i udjela.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(2) Prihodi i primici iz stavka 1. ovoga članka uplaćuju se u proračun.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(3) Zakonom o izvršavanju državnog proračuna, odnosno odlukom o izvršavanju proračuna određuje se izuzeće od obveze uplate prihoda i primitaka iz stavka 1. ovoga članka u proračun. </w:t>
      </w:r>
    </w:p>
    <w:p w:rsidR="00D66ACE" w:rsidRDefault="00D66ACE" w:rsidP="00D66ACE">
      <w:pPr>
        <w:spacing w:after="0" w:line="240" w:lineRule="auto"/>
        <w:jc w:val="center"/>
        <w:rPr>
          <w:rFonts w:ascii="Times New Roman" w:hAnsi="Times New Roman" w:cs="Times New Roman"/>
          <w:sz w:val="24"/>
        </w:rPr>
      </w:pPr>
      <w:r w:rsidRPr="00D66ACE">
        <w:rPr>
          <w:rFonts w:ascii="Times New Roman" w:hAnsi="Times New Roman" w:cs="Times New Roman"/>
          <w:sz w:val="24"/>
        </w:rPr>
        <w:t>Članak 49.</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Namjenski prihodi i primici koji nisu iskorišteni u prethodnoj godini prenose se u proračun za tekuću proračunsku godinu. </w:t>
      </w:r>
    </w:p>
    <w:p w:rsidR="00D66ACE" w:rsidRDefault="00D66ACE" w:rsidP="00D66ACE">
      <w:pPr>
        <w:spacing w:after="0" w:line="240" w:lineRule="auto"/>
        <w:jc w:val="center"/>
        <w:rPr>
          <w:rFonts w:ascii="Times New Roman" w:hAnsi="Times New Roman" w:cs="Times New Roman"/>
          <w:sz w:val="24"/>
        </w:rPr>
      </w:pPr>
      <w:r w:rsidRPr="00D66ACE">
        <w:rPr>
          <w:rFonts w:ascii="Times New Roman" w:hAnsi="Times New Roman" w:cs="Times New Roman"/>
          <w:sz w:val="24"/>
        </w:rPr>
        <w:t>Članak 50.</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(1) Ako su namjenski prihodi i primici uplaćeni u nižem opsegu nego što je iskazano u državnom proračunu, korisnik može preuzeti i plaćati obveze samo u visini stvarno uplaćenih, odnosno raspoloživih sredstava.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lastRenderedPageBreak/>
        <w:t xml:space="preserve">(2) Uplaćene i prenesene, a manje planirane pomoći, donacije i prihodi za posebne namjene mogu se izvršavati iznad iznosa utvrđenih u državnom proračunu, a do visine uplaćenih, odnosno prenesenih sredstava.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(3) Uplaćeni i preneseni, a manje planirani namjenski primici od zaduživanja mogu se izvršavati iznad iznosa utvrđenih u proračunu, a do visine uplaćenih, odnosno prenesenih sredstava, uz prethodnu suglasnost Ministarstva financija odnosno upravnog tijela za financije.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(4) Uplaćene i prenesene, a neplanirane pomoći, donacije, prihodi za posebne namjene i namjenski primici od zaduživanja mogu se koristiti prema naknadno utvrđenim aktivnostima i/ili projektima u proračunu uz prethodnu suglasnost Ministarstva financija odnosno upravnog tijela za financije.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(5) Odredbe ovoga članka na odgovarajući se način primjenjuju izvanproračunske korisnike i na jedinice lokalne i područne (regionalne) samouprave. </w:t>
      </w:r>
    </w:p>
    <w:p w:rsidR="00D66ACE" w:rsidRDefault="00D66ACE" w:rsidP="00D66ACE">
      <w:pPr>
        <w:spacing w:after="0" w:line="240" w:lineRule="auto"/>
        <w:jc w:val="center"/>
        <w:rPr>
          <w:rFonts w:ascii="Times New Roman" w:hAnsi="Times New Roman" w:cs="Times New Roman"/>
          <w:sz w:val="24"/>
        </w:rPr>
      </w:pPr>
      <w:r w:rsidRPr="00D66ACE">
        <w:rPr>
          <w:rFonts w:ascii="Times New Roman" w:hAnsi="Times New Roman" w:cs="Times New Roman"/>
          <w:sz w:val="24"/>
        </w:rPr>
        <w:t>Članak 51.</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Za iznos nenamjenski utrošenih sredstava iz članka 48. ovoga Zakona proračunskom korisniku umanjit će se proračunska sredstva u godini u kojoj nenamjenski utrošena sredstva mora vratiti. </w:t>
      </w:r>
    </w:p>
    <w:p w:rsidR="00D66ACE" w:rsidRDefault="00D66ACE" w:rsidP="00D66ACE">
      <w:pPr>
        <w:spacing w:after="0" w:line="240" w:lineRule="auto"/>
        <w:jc w:val="center"/>
        <w:rPr>
          <w:rFonts w:ascii="Times New Roman" w:hAnsi="Times New Roman" w:cs="Times New Roman"/>
          <w:sz w:val="24"/>
        </w:rPr>
      </w:pPr>
      <w:r w:rsidRPr="00D66ACE">
        <w:rPr>
          <w:rFonts w:ascii="Times New Roman" w:hAnsi="Times New Roman" w:cs="Times New Roman"/>
          <w:sz w:val="24"/>
        </w:rPr>
        <w:t>VLASTITI PRIHODI</w:t>
      </w:r>
    </w:p>
    <w:p w:rsidR="00D66ACE" w:rsidRDefault="00D66ACE" w:rsidP="00D66ACE">
      <w:pPr>
        <w:spacing w:after="0" w:line="240" w:lineRule="auto"/>
        <w:jc w:val="center"/>
        <w:rPr>
          <w:rFonts w:ascii="Times New Roman" w:hAnsi="Times New Roman" w:cs="Times New Roman"/>
          <w:sz w:val="24"/>
        </w:rPr>
      </w:pPr>
      <w:r w:rsidRPr="00D66ACE">
        <w:rPr>
          <w:rFonts w:ascii="Times New Roman" w:hAnsi="Times New Roman" w:cs="Times New Roman"/>
          <w:sz w:val="24"/>
        </w:rPr>
        <w:t>Članak 52.</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(1) Vlastiti prihodi jesu prihodi koje proračunski korisnici ostvaruju od obavljanja poslova na tržištu i u tržišnim uvjetima koji se ne financiraju iz proračuna.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(2) Prihodi iz stavka 1. ovoga članka uplaćuju se u proračun.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(3) Ako su vlastiti prihodi uplaćeni u nižem opsegu nego što je iskazano u državnom proračunu, korisnik može preuzeti i plaćati obveze samo u visini stvarno uplaćenih, odnosno raspoloživih sredstava.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(4) Uplaćeni i preneseni, a manje planirani vlastiti prihodi mogu se izvršavati iznad iznosa utvrđenih u proračunu, a do visine uplaćenih, odnosno prenesenih sredstava.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(5) Uplaćeni i preneseni, a neplanirani vlastiti prihodi mogu se koristiti prema naknadno utvrđenim aktivnostima i/ili projektima u proračunu uz prethodnu suglasnost Ministarstva financija, odnosno upravnog tijela za financije.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(6) Vlastiti prihodi koji nisu iskorišteni u prethodnoj godini, ne prenose se u proračun za tekuću proračunsku godinu. </w:t>
      </w:r>
    </w:p>
    <w:p w:rsidR="00D66ACE" w:rsidRDefault="00D66ACE" w:rsidP="00D66ACE">
      <w:pPr>
        <w:spacing w:after="0" w:line="240" w:lineRule="auto"/>
        <w:jc w:val="both"/>
        <w:rPr>
          <w:rFonts w:ascii="Times New Roman" w:hAnsi="Times New Roman" w:cs="Times New Roman"/>
          <w:sz w:val="24"/>
        </w:rPr>
      </w:pPr>
      <w:r w:rsidRPr="00D66ACE">
        <w:rPr>
          <w:rFonts w:ascii="Times New Roman" w:hAnsi="Times New Roman" w:cs="Times New Roman"/>
          <w:sz w:val="24"/>
        </w:rPr>
        <w:t xml:space="preserve">(7) Zakonom o izvršavanju državnog proračuna, odnosno odlukom o izvršavanju proračuna, određuje se izuzeće od obveze uplate prihoda iz stavka 1. ovoga članka u proračun. </w:t>
      </w:r>
    </w:p>
    <w:p w:rsidR="00D66ACE" w:rsidRPr="00D66ACE" w:rsidRDefault="00D66ACE" w:rsidP="00D66ACE">
      <w:pPr>
        <w:spacing w:after="0" w:line="240" w:lineRule="auto"/>
        <w:jc w:val="both"/>
        <w:rPr>
          <w:rFonts w:ascii="Times New Roman" w:hAnsi="Times New Roman" w:cs="Times New Roman"/>
          <w:sz w:val="28"/>
          <w:szCs w:val="24"/>
        </w:rPr>
      </w:pPr>
      <w:r w:rsidRPr="00D66ACE">
        <w:rPr>
          <w:rFonts w:ascii="Times New Roman" w:hAnsi="Times New Roman" w:cs="Times New Roman"/>
          <w:sz w:val="24"/>
        </w:rPr>
        <w:t>(8) Odredbe ovoga članka na odgovarajući se način primjenjuju na izvanproračunske korisnike i na proračunske korisnike jedinica lokalne i područne (regionalne) samouprave.</w:t>
      </w:r>
    </w:p>
    <w:p w:rsidR="00D66ACE" w:rsidRPr="00D66ACE" w:rsidRDefault="00D66ACE" w:rsidP="00D66ACE">
      <w:pPr>
        <w:spacing w:after="0"/>
        <w:jc w:val="both"/>
        <w:rPr>
          <w:rFonts w:ascii="Times New Roman" w:hAnsi="Times New Roman" w:cs="Times New Roman"/>
          <w:sz w:val="28"/>
          <w:szCs w:val="24"/>
        </w:rPr>
      </w:pPr>
    </w:p>
    <w:p w:rsidR="00B71309" w:rsidRDefault="00B71309" w:rsidP="0023265C">
      <w:pPr>
        <w:jc w:val="both"/>
        <w:rPr>
          <w:rFonts w:ascii="Times New Roman" w:hAnsi="Times New Roman" w:cs="Times New Roman"/>
          <w:sz w:val="24"/>
          <w:szCs w:val="24"/>
        </w:rPr>
      </w:pPr>
      <w:r>
        <w:rPr>
          <w:rFonts w:ascii="Times New Roman" w:hAnsi="Times New Roman" w:cs="Times New Roman"/>
          <w:sz w:val="24"/>
          <w:szCs w:val="24"/>
        </w:rPr>
        <w:t>Napomena: sva financijska sredstva po svim izvorima financiranja korištena su namjenski. Treća razina planiranih financijski sredstava nije probijena, te je samim tim u skladu s onim što je planirano za 2021. godinu.</w:t>
      </w:r>
    </w:p>
    <w:p w:rsidR="00831C23" w:rsidRDefault="00B71309" w:rsidP="0023265C">
      <w:pPr>
        <w:jc w:val="both"/>
        <w:rPr>
          <w:rFonts w:ascii="Times New Roman" w:hAnsi="Times New Roman" w:cs="Times New Roman"/>
          <w:sz w:val="24"/>
          <w:szCs w:val="24"/>
        </w:rPr>
      </w:pPr>
      <w:r>
        <w:rPr>
          <w:rFonts w:ascii="Times New Roman" w:hAnsi="Times New Roman" w:cs="Times New Roman"/>
          <w:sz w:val="24"/>
          <w:szCs w:val="24"/>
        </w:rPr>
        <w:t xml:space="preserve">Ukupni prihodi po svim izvorima financiranja na datum 30. lipnja 2021. godine iznose 4.252.459,98 kuna, dok ukupni rashodi po svim izvorima financiranja na datum 30. lipnja 2021. godine iznose 4.192.938,82 kuna. Kada se od ukupnih prihoda oduzmu ukupni rashodi dobije se iznos viška od 59.521,16 kuna budući da su ukupni prihodi veći od ukupnih rashoda. Kada se na višak od 59.521,16 kuna pridoda višak od 64.280,67 kuna sa datumom 31. prosinca 2021. godine dobije se da ukupan višak sa stanjem na datum 30. lipnja 2021. godine ukupno 123.801,83 kuna. </w:t>
      </w:r>
    </w:p>
    <w:p w:rsidR="00773022" w:rsidRPr="00B71309" w:rsidRDefault="009D67A0" w:rsidP="00B71309">
      <w:pPr>
        <w:jc w:val="right"/>
        <w:rPr>
          <w:rFonts w:ascii="Times New Roman" w:hAnsi="Times New Roman" w:cs="Times New Roman"/>
          <w:sz w:val="24"/>
        </w:rPr>
      </w:pPr>
      <w:r w:rsidRPr="00B71309">
        <w:rPr>
          <w:rFonts w:ascii="Times New Roman" w:hAnsi="Times New Roman" w:cs="Times New Roman"/>
          <w:sz w:val="24"/>
        </w:rPr>
        <w:t>R</w:t>
      </w:r>
      <w:r w:rsidR="00773022" w:rsidRPr="00B71309">
        <w:rPr>
          <w:rFonts w:ascii="Times New Roman" w:hAnsi="Times New Roman" w:cs="Times New Roman"/>
          <w:sz w:val="24"/>
        </w:rPr>
        <w:t>avnatelj</w:t>
      </w:r>
      <w:r w:rsidR="008B1A80" w:rsidRPr="00B71309">
        <w:rPr>
          <w:rFonts w:ascii="Times New Roman" w:hAnsi="Times New Roman" w:cs="Times New Roman"/>
          <w:sz w:val="24"/>
        </w:rPr>
        <w:t>ica</w:t>
      </w:r>
      <w:r w:rsidR="00773022" w:rsidRPr="00B71309">
        <w:rPr>
          <w:rFonts w:ascii="Times New Roman" w:hAnsi="Times New Roman" w:cs="Times New Roman"/>
          <w:sz w:val="24"/>
        </w:rPr>
        <w:t xml:space="preserve">: </w:t>
      </w:r>
    </w:p>
    <w:p w:rsidR="00773022" w:rsidRPr="00B71309" w:rsidRDefault="00773022" w:rsidP="00206E2A">
      <w:pPr>
        <w:jc w:val="right"/>
        <w:rPr>
          <w:rFonts w:ascii="Times New Roman" w:hAnsi="Times New Roman" w:cs="Times New Roman"/>
          <w:sz w:val="4"/>
        </w:rPr>
      </w:pPr>
    </w:p>
    <w:p w:rsidR="00773022" w:rsidRPr="00B71309" w:rsidRDefault="009D67A0" w:rsidP="00206E2A">
      <w:pPr>
        <w:jc w:val="right"/>
        <w:rPr>
          <w:rFonts w:ascii="Times New Roman" w:hAnsi="Times New Roman" w:cs="Times New Roman"/>
          <w:sz w:val="24"/>
        </w:rPr>
      </w:pPr>
      <w:r w:rsidRPr="00B71309">
        <w:rPr>
          <w:rFonts w:ascii="Times New Roman" w:hAnsi="Times New Roman" w:cs="Times New Roman"/>
          <w:sz w:val="24"/>
        </w:rPr>
        <w:t>__________</w:t>
      </w:r>
      <w:r w:rsidR="00773022" w:rsidRPr="00B71309">
        <w:rPr>
          <w:rFonts w:ascii="Times New Roman" w:hAnsi="Times New Roman" w:cs="Times New Roman"/>
          <w:sz w:val="24"/>
        </w:rPr>
        <w:t>_________</w:t>
      </w:r>
    </w:p>
    <w:p w:rsidR="00773022" w:rsidRPr="00B71309" w:rsidRDefault="00773022" w:rsidP="00206E2A">
      <w:pPr>
        <w:spacing w:after="0"/>
        <w:jc w:val="right"/>
        <w:rPr>
          <w:rFonts w:ascii="Times New Roman" w:hAnsi="Times New Roman" w:cs="Times New Roman"/>
          <w:sz w:val="24"/>
        </w:rPr>
      </w:pPr>
      <w:r w:rsidRPr="00B71309">
        <w:rPr>
          <w:rFonts w:ascii="Times New Roman" w:hAnsi="Times New Roman" w:cs="Times New Roman"/>
          <w:sz w:val="24"/>
        </w:rPr>
        <w:t>(</w:t>
      </w:r>
      <w:r w:rsidR="008B1A80" w:rsidRPr="00B71309">
        <w:rPr>
          <w:rFonts w:ascii="Times New Roman" w:hAnsi="Times New Roman" w:cs="Times New Roman"/>
          <w:sz w:val="24"/>
        </w:rPr>
        <w:t>Dinka Peti</w:t>
      </w:r>
      <w:r w:rsidRPr="00B71309">
        <w:rPr>
          <w:rFonts w:ascii="Times New Roman" w:hAnsi="Times New Roman" w:cs="Times New Roman"/>
          <w:sz w:val="24"/>
        </w:rPr>
        <w:t xml:space="preserve">, </w:t>
      </w:r>
      <w:proofErr w:type="spellStart"/>
      <w:r w:rsidRPr="00B71309">
        <w:rPr>
          <w:rFonts w:ascii="Times New Roman" w:hAnsi="Times New Roman" w:cs="Times New Roman"/>
          <w:sz w:val="24"/>
        </w:rPr>
        <w:t>mag.mus</w:t>
      </w:r>
      <w:proofErr w:type="spellEnd"/>
      <w:r w:rsidRPr="00B71309">
        <w:rPr>
          <w:rFonts w:ascii="Times New Roman" w:hAnsi="Times New Roman" w:cs="Times New Roman"/>
          <w:sz w:val="24"/>
        </w:rPr>
        <w:t>.)</w:t>
      </w:r>
    </w:p>
    <w:sectPr w:rsidR="00773022" w:rsidRPr="00B71309" w:rsidSect="00B71309">
      <w:pgSz w:w="11906" w:h="16838"/>
      <w:pgMar w:top="851" w:right="849"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73022"/>
    <w:rsid w:val="0003603F"/>
    <w:rsid w:val="00050E13"/>
    <w:rsid w:val="00057764"/>
    <w:rsid w:val="001D5237"/>
    <w:rsid w:val="00206E2A"/>
    <w:rsid w:val="0023265C"/>
    <w:rsid w:val="002D28D5"/>
    <w:rsid w:val="00354DB6"/>
    <w:rsid w:val="00432C44"/>
    <w:rsid w:val="004B54A6"/>
    <w:rsid w:val="00586EF3"/>
    <w:rsid w:val="005E6DF1"/>
    <w:rsid w:val="005F5430"/>
    <w:rsid w:val="005F6979"/>
    <w:rsid w:val="00645558"/>
    <w:rsid w:val="006806D1"/>
    <w:rsid w:val="007331FE"/>
    <w:rsid w:val="00753D64"/>
    <w:rsid w:val="00764B28"/>
    <w:rsid w:val="00773022"/>
    <w:rsid w:val="007757A5"/>
    <w:rsid w:val="00784DA7"/>
    <w:rsid w:val="00815E4F"/>
    <w:rsid w:val="00831C23"/>
    <w:rsid w:val="008A0D20"/>
    <w:rsid w:val="008A6E45"/>
    <w:rsid w:val="008B1A80"/>
    <w:rsid w:val="008C11CB"/>
    <w:rsid w:val="0093535A"/>
    <w:rsid w:val="009C7DC3"/>
    <w:rsid w:val="009D3627"/>
    <w:rsid w:val="009D67A0"/>
    <w:rsid w:val="00A0680F"/>
    <w:rsid w:val="00A70773"/>
    <w:rsid w:val="00AE2A17"/>
    <w:rsid w:val="00B64B4C"/>
    <w:rsid w:val="00B71309"/>
    <w:rsid w:val="00B83580"/>
    <w:rsid w:val="00BC717E"/>
    <w:rsid w:val="00C32CD0"/>
    <w:rsid w:val="00C41523"/>
    <w:rsid w:val="00CA5617"/>
    <w:rsid w:val="00D66ACE"/>
    <w:rsid w:val="00D70DFF"/>
    <w:rsid w:val="00D92429"/>
    <w:rsid w:val="00E022A6"/>
    <w:rsid w:val="00E51ADD"/>
    <w:rsid w:val="00E922C5"/>
    <w:rsid w:val="00EC0182"/>
    <w:rsid w:val="00ED2718"/>
    <w:rsid w:val="00F169FB"/>
    <w:rsid w:val="00F345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848</Words>
  <Characters>4839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comp</cp:lastModifiedBy>
  <cp:revision>27</cp:revision>
  <cp:lastPrinted>2021-07-02T10:15:00Z</cp:lastPrinted>
  <dcterms:created xsi:type="dcterms:W3CDTF">2019-02-01T18:08:00Z</dcterms:created>
  <dcterms:modified xsi:type="dcterms:W3CDTF">2021-07-02T10:16:00Z</dcterms:modified>
</cp:coreProperties>
</file>