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outlineLvl w:val="0"/>
        <w:rPr>
          <w:b/>
          <w:sz w:val="44"/>
          <w:szCs w:val="28"/>
        </w:rPr>
      </w:pPr>
    </w:p>
    <w:p w:rsidR="00314E9F" w:rsidRDefault="00314E9F" w:rsidP="00314E9F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14E9F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>
        <w:rPr>
          <w:b/>
          <w:sz w:val="52"/>
          <w:szCs w:val="28"/>
        </w:rPr>
        <w:t xml:space="preserve"> </w:t>
      </w:r>
      <w:r w:rsidRPr="00DB224A">
        <w:rPr>
          <w:b/>
          <w:sz w:val="52"/>
          <w:szCs w:val="28"/>
        </w:rPr>
        <w:t xml:space="preserve">financijskog plana </w:t>
      </w: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III. IZMJENE I DOPUNE</w:t>
      </w: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Glazbene škole Josipa Runjanina Vinkovci</w:t>
      </w: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2019</w:t>
      </w:r>
      <w:r w:rsidRPr="00DB224A">
        <w:rPr>
          <w:b/>
          <w:sz w:val="52"/>
          <w:szCs w:val="28"/>
        </w:rPr>
        <w:t>.-202</w:t>
      </w:r>
      <w:r>
        <w:rPr>
          <w:b/>
          <w:sz w:val="52"/>
          <w:szCs w:val="28"/>
        </w:rPr>
        <w:t>1</w:t>
      </w:r>
      <w:r w:rsidRPr="00DB224A">
        <w:rPr>
          <w:b/>
          <w:sz w:val="52"/>
          <w:szCs w:val="28"/>
        </w:rPr>
        <w:t>. godine</w:t>
      </w:r>
    </w:p>
    <w:p w:rsidR="00314E9F" w:rsidRPr="00DB224A" w:rsidRDefault="00314E9F" w:rsidP="00314E9F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14E9F" w:rsidRPr="00DC41DB" w:rsidRDefault="00314E9F" w:rsidP="00314E9F">
      <w:pPr>
        <w:spacing w:line="276" w:lineRule="auto"/>
        <w:jc w:val="center"/>
        <w:rPr>
          <w:sz w:val="40"/>
          <w:szCs w:val="28"/>
        </w:rPr>
      </w:pPr>
    </w:p>
    <w:p w:rsidR="00314E9F" w:rsidRPr="00DC41DB" w:rsidRDefault="00314E9F" w:rsidP="00314E9F">
      <w:pPr>
        <w:spacing w:line="276" w:lineRule="auto"/>
        <w:jc w:val="center"/>
        <w:rPr>
          <w:sz w:val="40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Pr="00EE013D">
        <w:rPr>
          <w:b/>
          <w:sz w:val="28"/>
          <w:szCs w:val="28"/>
        </w:rPr>
        <w:t>sažetak djelokruga rada</w:t>
      </w:r>
    </w:p>
    <w:p w:rsidR="00314E9F" w:rsidRDefault="00314E9F" w:rsidP="00314E9F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</w:t>
      </w:r>
      <w:r>
        <w:rPr>
          <w:sz w:val="28"/>
          <w:szCs w:val="28"/>
        </w:rPr>
        <w:t>H.D.Genschera 3</w:t>
      </w:r>
      <w:r w:rsidRPr="00EE013D">
        <w:rPr>
          <w:sz w:val="28"/>
          <w:szCs w:val="28"/>
        </w:rPr>
        <w:t xml:space="preserve">, Vinkovci. </w:t>
      </w: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14E9F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OBRAZLOŽENJE PROGRAMA (aktivnosti i projekti) 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2019</w:t>
      </w:r>
      <w:r w:rsidRPr="00EE013D">
        <w:rPr>
          <w:sz w:val="28"/>
          <w:szCs w:val="28"/>
        </w:rPr>
        <w:t xml:space="preserve">. godinu predviđeno </w:t>
      </w:r>
      <w:r w:rsidR="00BA14BA">
        <w:rPr>
          <w:sz w:val="28"/>
          <w:szCs w:val="28"/>
        </w:rPr>
        <w:t>7.987.752,41</w:t>
      </w:r>
      <w:r>
        <w:rPr>
          <w:sz w:val="28"/>
          <w:szCs w:val="28"/>
        </w:rPr>
        <w:t xml:space="preserve"> kuna</w:t>
      </w:r>
      <w:r w:rsidRPr="00EE013D">
        <w:rPr>
          <w:sz w:val="28"/>
          <w:szCs w:val="28"/>
        </w:rPr>
        <w:t xml:space="preserve"> prihoda za provođenje Redovne djelatnosti –</w:t>
      </w:r>
      <w:r>
        <w:rPr>
          <w:sz w:val="28"/>
          <w:szCs w:val="28"/>
        </w:rPr>
        <w:t xml:space="preserve"> osnovnog obrazovanja. </w:t>
      </w: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14E9F" w:rsidRPr="00EE013D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Djelatnost  glazbenog obrazovanja ostvaruje se u skladu s odredbama Zakona o odgoju i obrazovanju u osnovnoj i srednjoj školi (Narodne novine, broj 87/08, 86/09, 92/10, 105/10, 90/11, 5/12, 16/12, 86/12, 126/12, 94/13, 152/14</w:t>
      </w:r>
      <w:r>
        <w:rPr>
          <w:sz w:val="28"/>
          <w:szCs w:val="28"/>
        </w:rPr>
        <w:t xml:space="preserve">, </w:t>
      </w:r>
      <w:r w:rsidRPr="00455A8D">
        <w:rPr>
          <w:sz w:val="28"/>
          <w:szCs w:val="28"/>
        </w:rPr>
        <w:t>07/17, 68/18, 98/19</w:t>
      </w:r>
      <w:r w:rsidRPr="00EE013D">
        <w:rPr>
          <w:sz w:val="28"/>
          <w:szCs w:val="28"/>
        </w:rPr>
        <w:t xml:space="preserve">), Zakona o ustanovama (Narodne novine, broj 76/93,29/97, 47/99, 35/08). </w:t>
      </w: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  <w:highlight w:val="yellow"/>
        </w:rPr>
      </w:pPr>
    </w:p>
    <w:p w:rsidR="00314E9F" w:rsidRDefault="00314E9F" w:rsidP="00314E9F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>
        <w:rPr>
          <w:sz w:val="28"/>
          <w:szCs w:val="28"/>
        </w:rPr>
        <w:t>šnji plan i plan program za 2019./2020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14E9F" w:rsidRDefault="00314E9F" w:rsidP="00314E9F">
      <w:pPr>
        <w:spacing w:line="276" w:lineRule="auto"/>
        <w:jc w:val="both"/>
        <w:rPr>
          <w:bCs/>
          <w:sz w:val="28"/>
          <w:szCs w:val="28"/>
        </w:rPr>
      </w:pP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14E9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14E9F" w:rsidRPr="00CE454F" w:rsidRDefault="00314E9F" w:rsidP="00314E9F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14E9F" w:rsidRPr="00EE013D" w:rsidRDefault="00314E9F" w:rsidP="00314E9F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14E9F" w:rsidRPr="009A71EB" w:rsidRDefault="00314E9F" w:rsidP="00314E9F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14E9F" w:rsidRPr="009A71EB" w:rsidRDefault="00314E9F" w:rsidP="00314E9F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14E9F" w:rsidRPr="009A71EB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14E9F" w:rsidRPr="009A71EB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14E9F" w:rsidRPr="009A71EB" w:rsidRDefault="00314E9F" w:rsidP="00314E9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14E9F" w:rsidRPr="009A71EB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9A71EB" w:rsidRDefault="00314E9F" w:rsidP="00314E9F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314E9F" w:rsidRDefault="00314E9F" w:rsidP="00314E9F">
      <w:pPr>
        <w:jc w:val="both"/>
        <w:rPr>
          <w:sz w:val="28"/>
          <w:szCs w:val="28"/>
        </w:rPr>
      </w:pPr>
    </w:p>
    <w:p w:rsidR="00314E9F" w:rsidRPr="003D74FF" w:rsidRDefault="00314E9F" w:rsidP="00314E9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>
        <w:rPr>
          <w:rFonts w:ascii="Arial Narrow" w:hAnsi="Arial Narrow"/>
          <w:sz w:val="20"/>
          <w:szCs w:val="20"/>
        </w:rPr>
        <w:t>10</w:t>
      </w:r>
      <w:proofErr w:type="spellEnd"/>
      <w:r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>
        <w:rPr>
          <w:rFonts w:ascii="Arial Narrow" w:hAnsi="Arial Narrow"/>
          <w:sz w:val="20"/>
          <w:szCs w:val="20"/>
        </w:rPr>
        <w:t>10</w:t>
      </w:r>
      <w:proofErr w:type="spellEnd"/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14E9F" w:rsidRPr="003D74FF" w:rsidRDefault="00314E9F" w:rsidP="00314E9F">
      <w:pPr>
        <w:rPr>
          <w:rFonts w:ascii="Arial Narrow" w:hAnsi="Arial Narrow"/>
        </w:rPr>
      </w:pP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   Godišnji plan     10                  </w:t>
      </w:r>
      <w:proofErr w:type="spellStart"/>
      <w:r>
        <w:rPr>
          <w:rFonts w:ascii="Arial Narrow" w:hAnsi="Arial Narrow"/>
          <w:sz w:val="20"/>
          <w:szCs w:val="20"/>
        </w:rPr>
        <w:t>10</w:t>
      </w:r>
      <w:proofErr w:type="spellEnd"/>
      <w:r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>
        <w:rPr>
          <w:rFonts w:ascii="Arial Narrow" w:hAnsi="Arial Narrow"/>
          <w:sz w:val="20"/>
          <w:szCs w:val="20"/>
        </w:rPr>
        <w:t>10</w:t>
      </w:r>
      <w:proofErr w:type="spellEnd"/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14E9F" w:rsidRPr="003D74FF" w:rsidRDefault="00314E9F" w:rsidP="00314E9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14E9F" w:rsidRPr="003D74FF" w:rsidRDefault="00314E9F" w:rsidP="00314E9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14E9F" w:rsidRPr="003D74FF" w:rsidRDefault="00314E9F" w:rsidP="00314E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   Kurikulum        422             430             </w:t>
      </w:r>
      <w:proofErr w:type="spellStart"/>
      <w:r>
        <w:rPr>
          <w:rFonts w:ascii="Arial Narrow" w:hAnsi="Arial Narrow"/>
          <w:sz w:val="20"/>
          <w:szCs w:val="20"/>
        </w:rPr>
        <w:t>430</w:t>
      </w:r>
      <w:proofErr w:type="spellEnd"/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14E9F" w:rsidRPr="003D74FF" w:rsidRDefault="00314E9F" w:rsidP="00314E9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14E9F" w:rsidRPr="00DC41DB" w:rsidRDefault="00314E9F" w:rsidP="00314E9F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14E9F" w:rsidRPr="003D74FF" w:rsidRDefault="00314E9F" w:rsidP="00314E9F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14E9F" w:rsidRPr="003D74F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14E9F" w:rsidRPr="00EE013D" w:rsidRDefault="00314E9F" w:rsidP="00314E9F">
      <w:pPr>
        <w:spacing w:line="276" w:lineRule="auto"/>
        <w:jc w:val="both"/>
        <w:outlineLvl w:val="0"/>
        <w:rPr>
          <w:sz w:val="28"/>
          <w:szCs w:val="28"/>
        </w:rPr>
      </w:pPr>
    </w:p>
    <w:p w:rsidR="00314E9F" w:rsidRPr="00EE013D" w:rsidRDefault="00314E9F" w:rsidP="00314E9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ISHODIŠTE I POKAZATELJI NA KOJIMA SE  ZASNIVAJU IZRAČUNI I OCIJENE POTREBNIH SREDSTAVA ZA PROVOĐENJE PROGRAMA </w:t>
      </w:r>
    </w:p>
    <w:p w:rsidR="00314E9F" w:rsidRDefault="00314E9F" w:rsidP="00314E9F">
      <w:pPr>
        <w:spacing w:line="276" w:lineRule="auto"/>
        <w:jc w:val="both"/>
        <w:rPr>
          <w:b/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b/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Planirano je da će se</w:t>
      </w:r>
      <w:r>
        <w:rPr>
          <w:sz w:val="28"/>
          <w:szCs w:val="28"/>
        </w:rPr>
        <w:t xml:space="preserve"> u 2019. godini</w:t>
      </w:r>
      <w:r w:rsidRPr="00EE013D">
        <w:rPr>
          <w:sz w:val="28"/>
          <w:szCs w:val="28"/>
        </w:rPr>
        <w:t xml:space="preserve">: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državnog proračuna </w:t>
      </w:r>
      <w:r w:rsidRPr="003D74FF">
        <w:rPr>
          <w:sz w:val="28"/>
          <w:szCs w:val="28"/>
        </w:rPr>
        <w:t xml:space="preserve">ostvariti </w:t>
      </w:r>
      <w:r>
        <w:rPr>
          <w:sz w:val="28"/>
          <w:szCs w:val="28"/>
        </w:rPr>
        <w:t>5.876.000,00 kuna</w:t>
      </w:r>
      <w:r w:rsidRPr="003D74FF">
        <w:rPr>
          <w:sz w:val="28"/>
          <w:szCs w:val="28"/>
        </w:rPr>
        <w:t xml:space="preserve"> prihoda</w:t>
      </w:r>
      <w:r>
        <w:rPr>
          <w:sz w:val="28"/>
          <w:szCs w:val="28"/>
        </w:rPr>
        <w:t xml:space="preserve">, 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 xml:space="preserve">entralizirana sredstva ostvariti 302.000,00 kuna prihoda,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 w:rsidR="00BA14BA">
        <w:rPr>
          <w:sz w:val="28"/>
          <w:szCs w:val="28"/>
        </w:rPr>
        <w:t>Vinkovaca 447.023</w:t>
      </w:r>
      <w:r>
        <w:rPr>
          <w:sz w:val="28"/>
          <w:szCs w:val="28"/>
        </w:rPr>
        <w:t>,30 kuna,</w:t>
      </w:r>
      <w:r w:rsidRPr="003D74FF">
        <w:rPr>
          <w:sz w:val="28"/>
          <w:szCs w:val="28"/>
        </w:rPr>
        <w:t xml:space="preserve">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>
        <w:rPr>
          <w:sz w:val="28"/>
          <w:szCs w:val="28"/>
        </w:rPr>
        <w:t xml:space="preserve">proračuna Vukovarsko-srijemske županije 570.000,00 kuna, </w:t>
      </w:r>
    </w:p>
    <w:p w:rsidR="00314E9F" w:rsidRPr="005A713A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>
        <w:rPr>
          <w:sz w:val="28"/>
          <w:szCs w:val="28"/>
        </w:rPr>
        <w:t xml:space="preserve">ihoda za posebne namjene </w:t>
      </w:r>
      <w:r w:rsidRPr="003D74FF">
        <w:rPr>
          <w:sz w:val="28"/>
          <w:szCs w:val="28"/>
        </w:rPr>
        <w:t>0</w:t>
      </w:r>
      <w:r>
        <w:rPr>
          <w:sz w:val="28"/>
          <w:szCs w:val="28"/>
        </w:rPr>
        <w:t>,00 kuna</w:t>
      </w:r>
      <w:r w:rsidRPr="003D74FF">
        <w:rPr>
          <w:sz w:val="28"/>
          <w:szCs w:val="28"/>
        </w:rPr>
        <w:t xml:space="preserve">,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>
        <w:rPr>
          <w:sz w:val="28"/>
          <w:szCs w:val="28"/>
        </w:rPr>
        <w:t>cija planira se ostvariti 9.000,00 kuna</w:t>
      </w:r>
      <w:r w:rsidRPr="003D74FF">
        <w:rPr>
          <w:sz w:val="28"/>
          <w:szCs w:val="28"/>
        </w:rPr>
        <w:t xml:space="preserve">, </w:t>
      </w:r>
    </w:p>
    <w:p w:rsidR="00314E9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>
        <w:rPr>
          <w:sz w:val="28"/>
          <w:szCs w:val="28"/>
        </w:rPr>
        <w:t xml:space="preserve">moći planira se ostvariti 83.276,11 kuna, </w:t>
      </w:r>
    </w:p>
    <w:p w:rsidR="00314E9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</w:t>
      </w:r>
      <w:r w:rsidR="00EB7CD9">
        <w:rPr>
          <w:sz w:val="28"/>
          <w:szCs w:val="28"/>
        </w:rPr>
        <w:t>671.953</w:t>
      </w:r>
      <w:r>
        <w:rPr>
          <w:sz w:val="28"/>
          <w:szCs w:val="28"/>
        </w:rPr>
        <w:t xml:space="preserve">,00 kuna, </w:t>
      </w:r>
    </w:p>
    <w:p w:rsidR="00314E9F" w:rsidRPr="003D74FF" w:rsidRDefault="00314E9F" w:rsidP="00314E9F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prodaje nefinancijske imovine planira se ostvariti 28.500,00 kuna.  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2019</w:t>
      </w:r>
      <w:r w:rsidRPr="00EE013D">
        <w:rPr>
          <w:sz w:val="28"/>
          <w:szCs w:val="28"/>
        </w:rPr>
        <w:t xml:space="preserve">. godini: </w:t>
      </w:r>
    </w:p>
    <w:p w:rsidR="00314E9F" w:rsidRPr="000A0470" w:rsidRDefault="00314E9F" w:rsidP="00314E9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>
        <w:rPr>
          <w:sz w:val="28"/>
          <w:szCs w:val="28"/>
        </w:rPr>
        <w:t>4.800.000,00</w:t>
      </w:r>
      <w:r w:rsidRPr="000A0470">
        <w:rPr>
          <w:sz w:val="28"/>
          <w:szCs w:val="28"/>
        </w:rPr>
        <w:t xml:space="preserve"> </w:t>
      </w:r>
      <w:r>
        <w:rPr>
          <w:sz w:val="28"/>
          <w:szCs w:val="28"/>
        </w:rPr>
        <w:t>kuna (plaća za redovan rad), te 782.000,00 kuna</w:t>
      </w:r>
      <w:r w:rsidRPr="000A0470">
        <w:rPr>
          <w:sz w:val="28"/>
          <w:szCs w:val="28"/>
        </w:rPr>
        <w:t xml:space="preserve"> (doprinosi), </w:t>
      </w:r>
    </w:p>
    <w:p w:rsidR="00314E9F" w:rsidRPr="005A713A" w:rsidRDefault="00314E9F" w:rsidP="00314E9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>
        <w:rPr>
          <w:sz w:val="28"/>
          <w:szCs w:val="28"/>
        </w:rPr>
        <w:t xml:space="preserve"> jubilarne nagrade) u iznosu: 195</w:t>
      </w:r>
      <w:r w:rsidRPr="005A713A">
        <w:rPr>
          <w:sz w:val="28"/>
          <w:szCs w:val="28"/>
        </w:rPr>
        <w:t>.000</w:t>
      </w:r>
      <w:r>
        <w:rPr>
          <w:sz w:val="28"/>
          <w:szCs w:val="28"/>
        </w:rPr>
        <w:t>,00 kuna</w:t>
      </w:r>
      <w:r w:rsidRPr="005A713A">
        <w:rPr>
          <w:sz w:val="28"/>
          <w:szCs w:val="28"/>
        </w:rPr>
        <w:t xml:space="preserve">, </w:t>
      </w:r>
    </w:p>
    <w:p w:rsidR="00314E9F" w:rsidRPr="005A713A" w:rsidRDefault="00314E9F" w:rsidP="00314E9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Pr="005A713A">
        <w:rPr>
          <w:i/>
          <w:sz w:val="28"/>
          <w:szCs w:val="28"/>
          <w:u w:val="single"/>
        </w:rPr>
        <w:t xml:space="preserve">ntelektualne i osobne usluge </w:t>
      </w:r>
      <w:r w:rsidRPr="005A713A">
        <w:rPr>
          <w:sz w:val="28"/>
          <w:szCs w:val="28"/>
        </w:rPr>
        <w:t xml:space="preserve">(vanjski suradnici): </w:t>
      </w:r>
      <w:r>
        <w:rPr>
          <w:sz w:val="28"/>
          <w:szCs w:val="28"/>
        </w:rPr>
        <w:t>85.000,00 kuna</w:t>
      </w:r>
      <w:r w:rsidRPr="005A713A">
        <w:rPr>
          <w:sz w:val="28"/>
          <w:szCs w:val="28"/>
        </w:rPr>
        <w:t>,</w:t>
      </w:r>
    </w:p>
    <w:p w:rsidR="00314E9F" w:rsidRDefault="00314E9F" w:rsidP="00314E9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>naknada za nezapošljavanje osobe s invaliditetom  – 14</w:t>
      </w:r>
      <w:r w:rsidRPr="005A713A">
        <w:rPr>
          <w:sz w:val="28"/>
          <w:szCs w:val="28"/>
        </w:rPr>
        <w:t>.000</w:t>
      </w:r>
      <w:r>
        <w:rPr>
          <w:sz w:val="28"/>
          <w:szCs w:val="28"/>
        </w:rPr>
        <w:t>,00 kuna</w:t>
      </w:r>
      <w:r w:rsidRPr="005A713A">
        <w:rPr>
          <w:sz w:val="28"/>
          <w:szCs w:val="28"/>
        </w:rPr>
        <w:t xml:space="preserve">. </w:t>
      </w:r>
    </w:p>
    <w:p w:rsidR="003A3B2D" w:rsidRPr="003A3B2D" w:rsidRDefault="003A3B2D" w:rsidP="003A3B2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A3B2D">
        <w:rPr>
          <w:b/>
          <w:sz w:val="28"/>
          <w:szCs w:val="28"/>
          <w:u w:val="single"/>
        </w:rPr>
        <w:t>Napomena:</w:t>
      </w:r>
      <w:r w:rsidRPr="00FB22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smanjenje pozicije d</w:t>
      </w:r>
      <w:r w:rsidRPr="003A3B2D">
        <w:rPr>
          <w:sz w:val="28"/>
          <w:szCs w:val="28"/>
        </w:rPr>
        <w:t>oprinosi za obvezno osiguranje u slučaju nezaposlenosti</w:t>
      </w:r>
      <w:r>
        <w:rPr>
          <w:sz w:val="28"/>
          <w:szCs w:val="28"/>
        </w:rPr>
        <w:t xml:space="preserve"> za 100.000,00 kuna budući da je navedeni doprinos zakonski ukinut te ne postoji rashod na ovoj poziciji. Smanjenje pozicije ugovori o djelu za 95.000,00 kuna za plaće vanjskih suradnika. U prethodnoj školskoj godini bilo je zaposlenih više vanjskih suradnika te su samim tim bili i veći rashodi, no s novom školskom godinom samo su dva vanjska suradnika sa manjom satnicom te nisu velika izdvajanja </w:t>
      </w:r>
      <w:r w:rsidR="00FB22D2">
        <w:rPr>
          <w:sz w:val="28"/>
          <w:szCs w:val="28"/>
        </w:rPr>
        <w:t xml:space="preserve">na ovoj poziciji. </w:t>
      </w:r>
    </w:p>
    <w:p w:rsidR="00314E9F" w:rsidRPr="00C34D84" w:rsidRDefault="00314E9F" w:rsidP="00314E9F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314E9F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20.000,00 kuna</w:t>
      </w:r>
      <w:r w:rsidRPr="005A713A">
        <w:rPr>
          <w:sz w:val="28"/>
          <w:szCs w:val="28"/>
        </w:rPr>
        <w:t xml:space="preserve">, </w:t>
      </w:r>
    </w:p>
    <w:p w:rsidR="00314E9F" w:rsidRPr="005A713A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 (prijevoz)</w:t>
      </w:r>
      <w:r>
        <w:rPr>
          <w:sz w:val="28"/>
          <w:szCs w:val="28"/>
        </w:rPr>
        <w:t xml:space="preserve"> u iznosu: 550.000,00 kuna. </w:t>
      </w:r>
    </w:p>
    <w:p w:rsidR="00314E9F" w:rsidRDefault="00FB22D2" w:rsidP="00314E9F">
      <w:pPr>
        <w:spacing w:line="276" w:lineRule="auto"/>
        <w:jc w:val="both"/>
        <w:rPr>
          <w:sz w:val="28"/>
          <w:szCs w:val="28"/>
        </w:rPr>
      </w:pPr>
      <w:r w:rsidRPr="003A3B2D">
        <w:rPr>
          <w:b/>
          <w:sz w:val="28"/>
          <w:szCs w:val="28"/>
          <w:u w:val="single"/>
        </w:rPr>
        <w:t>Napomena:</w:t>
      </w:r>
      <w:r>
        <w:rPr>
          <w:sz w:val="28"/>
          <w:szCs w:val="28"/>
        </w:rPr>
        <w:t xml:space="preserve"> nema povećanja ali ni smanjenja niti na jednoj poziciji.</w:t>
      </w:r>
    </w:p>
    <w:p w:rsidR="00314E9F" w:rsidRPr="00DB574C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14E9F" w:rsidRPr="005A713A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>
        <w:rPr>
          <w:sz w:val="28"/>
          <w:szCs w:val="28"/>
        </w:rPr>
        <w:t>a smještaj, naknade za prijevoz, naknade za korištenje osobnog automobila u službene svrhe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17.867,28 kuna</w:t>
      </w:r>
      <w:r w:rsidRPr="005A713A">
        <w:rPr>
          <w:sz w:val="28"/>
          <w:szCs w:val="28"/>
        </w:rPr>
        <w:t xml:space="preserve">, </w:t>
      </w:r>
    </w:p>
    <w:p w:rsidR="00314E9F" w:rsidRPr="00DC41DB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>
        <w:rPr>
          <w:sz w:val="28"/>
          <w:szCs w:val="28"/>
        </w:rPr>
        <w:t xml:space="preserve">materijal i sredstva za čišćenje i održavanje, materijal za higijenske potrebe i njegu, ostali materijal za potrebe redovitog poslovanja, električna energija, plin, motorni benzin i dizel gorivo, materijal </w:t>
      </w:r>
      <w:r w:rsidRPr="000A0470">
        <w:rPr>
          <w:sz w:val="28"/>
          <w:szCs w:val="28"/>
        </w:rPr>
        <w:t>i</w:t>
      </w:r>
      <w:r>
        <w:rPr>
          <w:sz w:val="28"/>
          <w:szCs w:val="28"/>
        </w:rPr>
        <w:t xml:space="preserve"> dijelovi za tekuće i investicijsko održavanje, sitan inventar) u iznosu: 49.872,14 kuna</w:t>
      </w:r>
      <w:r w:rsidRPr="005A713A">
        <w:rPr>
          <w:sz w:val="28"/>
          <w:szCs w:val="28"/>
        </w:rPr>
        <w:t xml:space="preserve">, </w:t>
      </w:r>
    </w:p>
    <w:p w:rsidR="00314E9F" w:rsidRPr="007519D6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proofErr w:type="spellStart"/>
      <w:r>
        <w:rPr>
          <w:sz w:val="28"/>
          <w:szCs w:val="28"/>
        </w:rPr>
        <w:t>rent</w:t>
      </w:r>
      <w:proofErr w:type="spellEnd"/>
      <w:r>
        <w:rPr>
          <w:sz w:val="28"/>
          <w:szCs w:val="28"/>
        </w:rPr>
        <w:t xml:space="preserve"> a car, </w:t>
      </w:r>
      <w:r w:rsidRPr="005A713A">
        <w:rPr>
          <w:sz w:val="28"/>
          <w:szCs w:val="28"/>
        </w:rPr>
        <w:t>us</w:t>
      </w:r>
      <w:r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>
        <w:rPr>
          <w:sz w:val="28"/>
          <w:szCs w:val="28"/>
        </w:rPr>
        <w:t xml:space="preserve"> elektronski mediji, ostale usluge promidžbe i informiranja, opskrba vodom, iznošenje i odvoz smeća, ostale komunalne usluge, zakupnine i najamnine za prijevozna sredstva, autorski honorari, ugovori o djelu, </w:t>
      </w:r>
      <w:r w:rsidRPr="006722B7">
        <w:rPr>
          <w:sz w:val="28"/>
          <w:szCs w:val="28"/>
        </w:rPr>
        <w:t>ostale računalne usluge, grafičke i tiskarske usluge, usluge pranja i čišćenja</w:t>
      </w:r>
      <w:r>
        <w:rPr>
          <w:sz w:val="28"/>
          <w:szCs w:val="28"/>
        </w:rPr>
        <w:t>, ostale nespomenute usluge</w:t>
      </w:r>
      <w:r w:rsidRPr="006722B7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193.090,01 kuna</w:t>
      </w:r>
      <w:r w:rsidRPr="007519D6">
        <w:rPr>
          <w:sz w:val="28"/>
          <w:szCs w:val="28"/>
        </w:rPr>
        <w:t xml:space="preserve">, </w:t>
      </w:r>
    </w:p>
    <w:p w:rsidR="00314E9F" w:rsidRPr="005A713A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>
        <w:rPr>
          <w:sz w:val="28"/>
          <w:szCs w:val="28"/>
        </w:rPr>
        <w:t xml:space="preserve"> ostali nespomenuti rashodi, rashodi protokola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37.213,83 kuna</w:t>
      </w:r>
      <w:r w:rsidRPr="005A713A">
        <w:rPr>
          <w:sz w:val="28"/>
          <w:szCs w:val="28"/>
        </w:rPr>
        <w:t xml:space="preserve">, </w:t>
      </w:r>
    </w:p>
    <w:p w:rsidR="00314E9F" w:rsidRDefault="00314E9F" w:rsidP="00314E9F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(usluge banaka) u iznosu: 3.956,74 kuna</w:t>
      </w:r>
      <w:r w:rsidRPr="005A713A">
        <w:rPr>
          <w:sz w:val="28"/>
          <w:szCs w:val="28"/>
        </w:rPr>
        <w:t xml:space="preserve">. </w:t>
      </w:r>
    </w:p>
    <w:p w:rsidR="00FB22D2" w:rsidRDefault="00FB22D2" w:rsidP="00314E9F">
      <w:pPr>
        <w:spacing w:line="276" w:lineRule="auto"/>
        <w:jc w:val="both"/>
        <w:rPr>
          <w:sz w:val="28"/>
          <w:szCs w:val="28"/>
        </w:rPr>
      </w:pPr>
      <w:r w:rsidRPr="003A3B2D">
        <w:rPr>
          <w:b/>
          <w:sz w:val="28"/>
          <w:szCs w:val="28"/>
          <w:u w:val="single"/>
        </w:rPr>
        <w:t>Napomena:</w:t>
      </w:r>
      <w:r>
        <w:rPr>
          <w:sz w:val="28"/>
          <w:szCs w:val="28"/>
        </w:rPr>
        <w:t xml:space="preserve"> dolazi do raspodjele unutar decentraliziranih sredstava. Smanjuju se pozicije električne energije, plina i pošte, a povećava se pozicija ostale računalne usluge. Razlog smanjenja pozicije električne energije, plina  i pošte je taj što do kraja godine ne postoje toliki troškovi da se mogu opravdati. </w:t>
      </w:r>
    </w:p>
    <w:p w:rsidR="00FB22D2" w:rsidRDefault="00FB22D2" w:rsidP="00314E9F">
      <w:pPr>
        <w:spacing w:line="276" w:lineRule="auto"/>
        <w:jc w:val="both"/>
        <w:rPr>
          <w:sz w:val="28"/>
          <w:szCs w:val="28"/>
        </w:rPr>
      </w:pPr>
    </w:p>
    <w:p w:rsidR="00314E9F" w:rsidRPr="007519D6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2019. g</w:t>
      </w:r>
      <w:r w:rsidRPr="00EE013D">
        <w:rPr>
          <w:sz w:val="28"/>
          <w:szCs w:val="28"/>
        </w:rPr>
        <w:t>odini:</w:t>
      </w:r>
    </w:p>
    <w:p w:rsidR="00314E9F" w:rsidRPr="001B501D" w:rsidRDefault="00314E9F" w:rsidP="00314E9F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B501D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(električna energija, plin, materijal i dijelovi za tekuće i investicijsko održavanje) u iznosu: 159.291,66 kuna,</w:t>
      </w:r>
    </w:p>
    <w:p w:rsidR="00314E9F" w:rsidRDefault="00314E9F" w:rsidP="00314E9F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usluge tekućeg i investicijskog održavanja, promidžbeni materijali, ostale usluge promidžbe i informiranja, voda, iznošenje i odvoz smeća, ostale komunalne usluge, zakupnine i najamnine za građevinske </w:t>
      </w:r>
      <w:r>
        <w:rPr>
          <w:sz w:val="28"/>
          <w:szCs w:val="28"/>
        </w:rPr>
        <w:lastRenderedPageBreak/>
        <w:t xml:space="preserve">objekte, ostale zakupnine i najamnine, ugovori o djelu, grafičke i tiskarske usluge, film i izrada fotografija, usluga čuvanja imovine i osoba, ostale nespomenute usluge) u iznosu: </w:t>
      </w:r>
      <w:r w:rsidR="00BA14BA">
        <w:rPr>
          <w:sz w:val="28"/>
          <w:szCs w:val="28"/>
        </w:rPr>
        <w:t>262.368</w:t>
      </w:r>
      <w:r>
        <w:rPr>
          <w:sz w:val="28"/>
          <w:szCs w:val="28"/>
        </w:rPr>
        <w:t xml:space="preserve">,52 kuna, </w:t>
      </w:r>
    </w:p>
    <w:p w:rsidR="00314E9F" w:rsidRDefault="00314E9F" w:rsidP="00314E9F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osobama izvan radnoga odnosa</w:t>
      </w:r>
      <w:r>
        <w:rPr>
          <w:sz w:val="28"/>
          <w:szCs w:val="28"/>
        </w:rPr>
        <w:t xml:space="preserve"> (naknade troškova službenog puta osobama izvan radnoga odnosa, naknade ostalih troškova) u iznosu: 5.363,12 kuna.</w:t>
      </w:r>
    </w:p>
    <w:p w:rsidR="00314E9F" w:rsidRDefault="00314E9F" w:rsidP="00314E9F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>
        <w:rPr>
          <w:sz w:val="28"/>
          <w:szCs w:val="28"/>
        </w:rPr>
        <w:t xml:space="preserve"> (video nadzor) u iznosu: 20.000,00 kuna. </w:t>
      </w:r>
    </w:p>
    <w:p w:rsidR="00314E9F" w:rsidRPr="00FB22D2" w:rsidRDefault="00FB22D2" w:rsidP="00314E9F">
      <w:pPr>
        <w:spacing w:line="276" w:lineRule="auto"/>
        <w:jc w:val="both"/>
        <w:rPr>
          <w:i/>
          <w:sz w:val="28"/>
          <w:szCs w:val="28"/>
          <w:highlight w:val="yellow"/>
        </w:rPr>
      </w:pPr>
      <w:r w:rsidRPr="003A3B2D">
        <w:rPr>
          <w:b/>
          <w:sz w:val="28"/>
          <w:szCs w:val="28"/>
          <w:u w:val="single"/>
        </w:rPr>
        <w:t>Napomena:</w:t>
      </w:r>
      <w:r>
        <w:rPr>
          <w:sz w:val="28"/>
          <w:szCs w:val="28"/>
        </w:rPr>
        <w:t xml:space="preserve"> dolazi do smanjenja pozicije zakupnine i najamnine za građevinske objekte u visini 16.500,00 kuna zbog toga što je do sa</w:t>
      </w:r>
      <w:r w:rsidR="00D45746">
        <w:rPr>
          <w:sz w:val="28"/>
          <w:szCs w:val="28"/>
        </w:rPr>
        <w:t>da na ovoj poziciji potrošeno 59.75</w:t>
      </w:r>
      <w:r>
        <w:rPr>
          <w:sz w:val="28"/>
          <w:szCs w:val="28"/>
        </w:rPr>
        <w:t>0,00 kuna i još je preostao jedan račun za studeni do 3.750,00 kuna</w:t>
      </w:r>
      <w:r w:rsidR="00D45746">
        <w:rPr>
          <w:sz w:val="28"/>
          <w:szCs w:val="28"/>
        </w:rPr>
        <w:t>, što ukupno tvori iznos od 63.500,00 kuna. Ranije je financijskim planom određeno 80.000,00 kuna a stvarni troškovi su 63.500,00 kuna te upravo zbog navedenoga dolazi do smanjenja pozicije za 16.500,00 kuna.</w:t>
      </w:r>
    </w:p>
    <w:p w:rsidR="00314E9F" w:rsidRPr="00EE013D" w:rsidRDefault="00314E9F" w:rsidP="00314E9F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godini: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>
        <w:rPr>
          <w:sz w:val="28"/>
          <w:szCs w:val="28"/>
        </w:rPr>
        <w:t>aknade za prijevoz u zemlji, naknade za prijevoz u inozemstvu, seminari, naknade za korištenje osobnog automobila u službene svrhe) u iznosu: 47.000,00 kuna</w:t>
      </w:r>
      <w:r w:rsidRPr="00C93027">
        <w:rPr>
          <w:sz w:val="28"/>
          <w:szCs w:val="28"/>
        </w:rPr>
        <w:t xml:space="preserve">,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>
        <w:rPr>
          <w:sz w:val="28"/>
          <w:szCs w:val="28"/>
        </w:rPr>
        <w:t xml:space="preserve"> literatura, materijal i sredstva za čišćenje i održavanje, materijal za higijenske potrebe i njegu, ostali materijal za potrebe redovitog poslovanja, električna energija, plin, motorni benzin i dizel gorivo, materijal i dijelovi za tekuće</w:t>
      </w:r>
      <w:r w:rsidRPr="00C93027">
        <w:rPr>
          <w:sz w:val="28"/>
          <w:szCs w:val="28"/>
        </w:rPr>
        <w:t xml:space="preserve"> i invest</w:t>
      </w:r>
      <w:r>
        <w:rPr>
          <w:sz w:val="28"/>
          <w:szCs w:val="28"/>
        </w:rPr>
        <w:t xml:space="preserve">icijsko </w:t>
      </w:r>
      <w:r w:rsidRPr="00C93027">
        <w:rPr>
          <w:sz w:val="28"/>
          <w:szCs w:val="28"/>
        </w:rPr>
        <w:t>održavanje,</w:t>
      </w:r>
      <w:r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>
        <w:rPr>
          <w:sz w:val="28"/>
          <w:szCs w:val="28"/>
        </w:rPr>
        <w:t xml:space="preserve"> i auto gume, službena, zaštitna i radna odjeća i obuća</w:t>
      </w:r>
      <w:r w:rsidRPr="00C93027">
        <w:rPr>
          <w:sz w:val="28"/>
          <w:szCs w:val="28"/>
        </w:rPr>
        <w:t>) u iznosu</w:t>
      </w:r>
      <w:r>
        <w:rPr>
          <w:sz w:val="28"/>
          <w:szCs w:val="28"/>
        </w:rPr>
        <w:t>: 54.400,00 kuna</w:t>
      </w:r>
      <w:r w:rsidRPr="00C93027">
        <w:rPr>
          <w:sz w:val="28"/>
          <w:szCs w:val="28"/>
        </w:rPr>
        <w:t xml:space="preserve">,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(telefon, poštarina, </w:t>
      </w:r>
      <w:proofErr w:type="spellStart"/>
      <w:r>
        <w:rPr>
          <w:sz w:val="28"/>
          <w:szCs w:val="28"/>
        </w:rPr>
        <w:t>rent</w:t>
      </w:r>
      <w:proofErr w:type="spellEnd"/>
      <w:r>
        <w:rPr>
          <w:sz w:val="28"/>
          <w:szCs w:val="28"/>
        </w:rPr>
        <w:t xml:space="preserve"> a car, ostale usluge za komunikaciju i prijevoz, usluge tekućeg</w:t>
      </w:r>
      <w:r w:rsidRPr="00C93027">
        <w:rPr>
          <w:sz w:val="28"/>
          <w:szCs w:val="28"/>
        </w:rPr>
        <w:t xml:space="preserve"> i invest</w:t>
      </w:r>
      <w:r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>
        <w:rPr>
          <w:sz w:val="28"/>
          <w:szCs w:val="28"/>
        </w:rPr>
        <w:t xml:space="preserve"> elektronski mediji, tisak, promidžbeni materijali, ostale </w:t>
      </w:r>
      <w:r w:rsidRPr="00C93027">
        <w:rPr>
          <w:sz w:val="28"/>
          <w:szCs w:val="28"/>
        </w:rPr>
        <w:t>usluge promidžbe i informiranja</w:t>
      </w:r>
      <w:r>
        <w:rPr>
          <w:sz w:val="28"/>
          <w:szCs w:val="28"/>
        </w:rPr>
        <w:t xml:space="preserve">, voda, iznošenje i odvoz smeća, </w:t>
      </w:r>
      <w:r w:rsidR="00895681">
        <w:rPr>
          <w:sz w:val="28"/>
          <w:szCs w:val="28"/>
        </w:rPr>
        <w:t xml:space="preserve">deratizacija i dezinsekcija, </w:t>
      </w:r>
      <w:r>
        <w:rPr>
          <w:sz w:val="28"/>
          <w:szCs w:val="28"/>
        </w:rPr>
        <w:t>ostale komunalne usluge, zakupnine i najamnine za građevinske objekte, zakupnine i najamnine za prijevozna sredstva, licence, ostale zakupnine i najamnine, zdravstveni pregledi, intelektualne i osobne usluge, računalne usluge, grafičke usluge, usluge kopiranja, film i izrada fotografija, usluge pri registraciji prijevoznih sredstava, 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895681">
        <w:rPr>
          <w:sz w:val="28"/>
          <w:szCs w:val="28"/>
        </w:rPr>
        <w:t>207.0</w:t>
      </w:r>
      <w:r>
        <w:rPr>
          <w:sz w:val="28"/>
          <w:szCs w:val="28"/>
        </w:rPr>
        <w:t>00,00 kuna</w:t>
      </w:r>
      <w:r w:rsidRPr="00C93027">
        <w:rPr>
          <w:sz w:val="28"/>
          <w:szCs w:val="28"/>
        </w:rPr>
        <w:t xml:space="preserve">,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>
        <w:rPr>
          <w:sz w:val="28"/>
          <w:szCs w:val="28"/>
        </w:rPr>
        <w:t xml:space="preserve"> u iznosu: 33.000,00 kuna,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ostali nespomenuti rashodi poslovanja</w:t>
      </w:r>
      <w:r>
        <w:rPr>
          <w:sz w:val="28"/>
          <w:szCs w:val="28"/>
        </w:rPr>
        <w:t xml:space="preserve"> (premija osiguranja prijevoznih sredstava, premija osiguranja imovine, premija osiguranja zaposlenih, </w:t>
      </w:r>
      <w:r w:rsidRPr="00C93027">
        <w:rPr>
          <w:sz w:val="28"/>
          <w:szCs w:val="28"/>
        </w:rPr>
        <w:t>reprezentacija</w:t>
      </w:r>
      <w:r>
        <w:rPr>
          <w:sz w:val="28"/>
          <w:szCs w:val="28"/>
        </w:rPr>
        <w:t>, članarine, sudske pristojbe, javnobilježničke pristojbe, ostale pristojbe i naknade,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EB7CD9">
        <w:rPr>
          <w:sz w:val="28"/>
          <w:szCs w:val="28"/>
        </w:rPr>
        <w:t>63.0</w:t>
      </w:r>
      <w:r>
        <w:rPr>
          <w:sz w:val="28"/>
          <w:szCs w:val="28"/>
        </w:rPr>
        <w:t>00,00 kuna</w:t>
      </w:r>
      <w:r w:rsidRPr="00C93027">
        <w:rPr>
          <w:sz w:val="28"/>
          <w:szCs w:val="28"/>
        </w:rPr>
        <w:t>,</w:t>
      </w:r>
    </w:p>
    <w:p w:rsidR="00314E9F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5.000,00</w:t>
      </w:r>
      <w:r w:rsidRPr="003F3260">
        <w:rPr>
          <w:sz w:val="28"/>
          <w:szCs w:val="28"/>
        </w:rPr>
        <w:t xml:space="preserve"> k</w:t>
      </w:r>
      <w:r>
        <w:rPr>
          <w:sz w:val="28"/>
          <w:szCs w:val="28"/>
        </w:rPr>
        <w:t>una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zatezne kamate</w:t>
      </w:r>
      <w:r>
        <w:rPr>
          <w:sz w:val="28"/>
          <w:szCs w:val="28"/>
        </w:rPr>
        <w:t xml:space="preserve">: 850,00 kuna, </w:t>
      </w:r>
      <w:r>
        <w:rPr>
          <w:i/>
          <w:sz w:val="28"/>
          <w:szCs w:val="28"/>
          <w:u w:val="single"/>
        </w:rPr>
        <w:t>usluge platnog prometa:</w:t>
      </w:r>
      <w:r>
        <w:rPr>
          <w:sz w:val="28"/>
          <w:szCs w:val="28"/>
        </w:rPr>
        <w:t xml:space="preserve"> 130,00 kuna, </w:t>
      </w:r>
      <w:r>
        <w:rPr>
          <w:i/>
          <w:sz w:val="28"/>
          <w:szCs w:val="28"/>
          <w:u w:val="single"/>
        </w:rPr>
        <w:t>negativne tečajne razlike:</w:t>
      </w:r>
      <w:r>
        <w:rPr>
          <w:sz w:val="28"/>
          <w:szCs w:val="28"/>
        </w:rPr>
        <w:t xml:space="preserve"> 3.05</w:t>
      </w:r>
      <w:r w:rsidRPr="006371D5">
        <w:rPr>
          <w:sz w:val="28"/>
          <w:szCs w:val="28"/>
        </w:rPr>
        <w:t xml:space="preserve">0,00 kuna, </w:t>
      </w:r>
    </w:p>
    <w:p w:rsidR="00314E9F" w:rsidRPr="006371D5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kazne, penali i naknade štete</w:t>
      </w:r>
      <w:r>
        <w:rPr>
          <w:sz w:val="28"/>
          <w:szCs w:val="28"/>
        </w:rPr>
        <w:t xml:space="preserve"> u iznosu 5.000,00  kuna,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>
        <w:rPr>
          <w:sz w:val="28"/>
          <w:szCs w:val="28"/>
        </w:rPr>
        <w:t>računala i računalna oprema, telefoni i ostali uređaji, ostala oprema za održavanje i zaštitu, glazbeni instrumenti i oprema, te oprema) u iznosu: 171.523,00 kuna</w:t>
      </w:r>
      <w:r w:rsidRPr="00C93027">
        <w:rPr>
          <w:sz w:val="28"/>
          <w:szCs w:val="28"/>
        </w:rPr>
        <w:t>,</w:t>
      </w:r>
    </w:p>
    <w:p w:rsidR="00314E9F" w:rsidRPr="006371D5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>
        <w:rPr>
          <w:sz w:val="28"/>
          <w:szCs w:val="28"/>
        </w:rPr>
        <w:t xml:space="preserve">2.000,00 kuna, </w:t>
      </w:r>
    </w:p>
    <w:p w:rsidR="00314E9F" w:rsidRPr="00C93027" w:rsidRDefault="00314E9F" w:rsidP="00314E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>
        <w:rPr>
          <w:sz w:val="28"/>
          <w:szCs w:val="28"/>
        </w:rPr>
        <w:t xml:space="preserve"> u iznosu: 0,00 kuna. </w:t>
      </w:r>
    </w:p>
    <w:p w:rsidR="00D45746" w:rsidRPr="00D45746" w:rsidRDefault="00D45746" w:rsidP="00D45746">
      <w:pPr>
        <w:spacing w:line="276" w:lineRule="auto"/>
        <w:jc w:val="both"/>
        <w:rPr>
          <w:sz w:val="28"/>
          <w:szCs w:val="28"/>
        </w:rPr>
      </w:pPr>
      <w:r w:rsidRPr="00D45746">
        <w:rPr>
          <w:b/>
          <w:sz w:val="28"/>
          <w:szCs w:val="28"/>
          <w:u w:val="single"/>
        </w:rPr>
        <w:t>Napomena:</w:t>
      </w:r>
      <w:r w:rsidRPr="00D4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značajno povećanje rashoda za nabavu dugotrajne imovine (glazbeni instrumenti i oprema) budući da je inicijativom ravnatelja, Darka Domaćinovića uz odobrenje Školskoga odbora, izvršena kupnja za koju nisu osigurana sredstva te se na ovaj način vrši nadomještanje sredstava koja su već utrošena. 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>
        <w:rPr>
          <w:sz w:val="28"/>
          <w:szCs w:val="28"/>
        </w:rPr>
        <w:t>(Hrvatski zavod za zapošljavanje, Ministarstvo kulture i Ministarstvo znanosti i obrazovanja) previđeno je financiranje u 2019</w:t>
      </w:r>
      <w:r w:rsidRPr="00EE013D">
        <w:rPr>
          <w:sz w:val="28"/>
          <w:szCs w:val="28"/>
        </w:rPr>
        <w:t xml:space="preserve">. godini: 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 xml:space="preserve">rashodi </w:t>
      </w:r>
      <w:r>
        <w:rPr>
          <w:i/>
          <w:sz w:val="28"/>
          <w:szCs w:val="28"/>
          <w:u w:val="single"/>
        </w:rPr>
        <w:t xml:space="preserve">za zaposlene </w:t>
      </w:r>
      <w:r>
        <w:rPr>
          <w:sz w:val="28"/>
          <w:szCs w:val="28"/>
        </w:rPr>
        <w:t>(Hrvatski zavod za zapošljavanje za pripravništvo) u iznosu: 42.829,62 kuna,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F441B">
        <w:rPr>
          <w:i/>
          <w:sz w:val="28"/>
          <w:szCs w:val="28"/>
        </w:rPr>
        <w:t>naknade troškova zaposlenima</w:t>
      </w:r>
      <w:r>
        <w:rPr>
          <w:sz w:val="28"/>
          <w:szCs w:val="28"/>
        </w:rPr>
        <w:t xml:space="preserve"> (Hrvatski zavod za zapošljavanje za pripravništvo prijevoz) u iznosu: 7.200,00 kuna,</w:t>
      </w:r>
    </w:p>
    <w:p w:rsidR="00314E9F" w:rsidRPr="007F441B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rashodi za usluge</w:t>
      </w:r>
      <w:r w:rsidRPr="00CD25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(Ministarstvo kulture za natjecanje) </w:t>
      </w:r>
      <w:r w:rsidRPr="00CD2543">
        <w:rPr>
          <w:sz w:val="28"/>
          <w:szCs w:val="28"/>
        </w:rPr>
        <w:t>u iznosu:</w:t>
      </w:r>
      <w:r>
        <w:rPr>
          <w:sz w:val="28"/>
          <w:szCs w:val="28"/>
        </w:rPr>
        <w:t xml:space="preserve"> 16.0</w:t>
      </w:r>
      <w:r w:rsidRPr="00CD2543">
        <w:rPr>
          <w:sz w:val="28"/>
          <w:szCs w:val="28"/>
        </w:rPr>
        <w:t>00</w:t>
      </w:r>
      <w:r>
        <w:rPr>
          <w:sz w:val="28"/>
          <w:szCs w:val="28"/>
        </w:rPr>
        <w:t>,00 kuna</w:t>
      </w:r>
      <w:r w:rsidRPr="00CD2543">
        <w:rPr>
          <w:sz w:val="28"/>
          <w:szCs w:val="28"/>
        </w:rPr>
        <w:t xml:space="preserve"> </w:t>
      </w:r>
      <w:r>
        <w:rPr>
          <w:sz w:val="28"/>
          <w:szCs w:val="28"/>
        </w:rPr>
        <w:t>za osoba koje rade na ugovor o djelu za vrijeme natjecanja,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naknada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>
        <w:rPr>
          <w:sz w:val="28"/>
          <w:szCs w:val="28"/>
        </w:rPr>
        <w:t xml:space="preserve"> za SOR i Ministarstvo kulture za natjecanje) u iznosu: 15.000,00 kuna, </w:t>
      </w:r>
    </w:p>
    <w:p w:rsidR="00314E9F" w:rsidRDefault="00314E9F" w:rsidP="00314E9F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C93027">
        <w:rPr>
          <w:sz w:val="28"/>
          <w:szCs w:val="28"/>
        </w:rPr>
        <w:t xml:space="preserve">u iznosu: </w:t>
      </w:r>
      <w:r>
        <w:rPr>
          <w:sz w:val="28"/>
          <w:szCs w:val="28"/>
        </w:rPr>
        <w:t>2.246,49 kuna.</w:t>
      </w:r>
    </w:p>
    <w:p w:rsidR="00D45746" w:rsidRPr="00D45746" w:rsidRDefault="00D45746" w:rsidP="00D45746">
      <w:pPr>
        <w:spacing w:line="276" w:lineRule="auto"/>
        <w:jc w:val="both"/>
        <w:rPr>
          <w:sz w:val="28"/>
          <w:szCs w:val="28"/>
        </w:rPr>
      </w:pPr>
      <w:r w:rsidRPr="00D45746">
        <w:rPr>
          <w:b/>
          <w:sz w:val="28"/>
          <w:szCs w:val="28"/>
          <w:u w:val="single"/>
        </w:rPr>
        <w:t>Napomena:</w:t>
      </w:r>
      <w:r w:rsidRPr="00D45746">
        <w:rPr>
          <w:sz w:val="28"/>
          <w:szCs w:val="28"/>
        </w:rPr>
        <w:t xml:space="preserve"> </w:t>
      </w:r>
      <w:r>
        <w:rPr>
          <w:sz w:val="28"/>
          <w:szCs w:val="28"/>
        </w:rPr>
        <w:t>pozicija naknade ostalih troškova smanjuje se za 5.000,00 kuna zbog toga što je planirano da će u okviru mjere SOR biti većih rashoda, no to nije slučaj, te se događa smanjenje pozicije.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 xml:space="preserve">Prihodima od </w:t>
      </w:r>
      <w:r>
        <w:rPr>
          <w:sz w:val="28"/>
          <w:szCs w:val="28"/>
        </w:rPr>
        <w:t>prodaje nefinancijske imovine previđeno je financiranje u 2019</w:t>
      </w:r>
      <w:r w:rsidRPr="00EE013D">
        <w:rPr>
          <w:sz w:val="28"/>
          <w:szCs w:val="28"/>
        </w:rPr>
        <w:t xml:space="preserve">. godini: 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u iznosu: 28.500,00 kuna.</w:t>
      </w:r>
    </w:p>
    <w:p w:rsidR="00D45746" w:rsidRPr="00D45746" w:rsidRDefault="00D45746" w:rsidP="00D45746">
      <w:pPr>
        <w:spacing w:line="276" w:lineRule="auto"/>
        <w:jc w:val="both"/>
        <w:rPr>
          <w:sz w:val="28"/>
          <w:szCs w:val="28"/>
        </w:rPr>
      </w:pPr>
      <w:r w:rsidRPr="00D45746">
        <w:rPr>
          <w:b/>
          <w:sz w:val="28"/>
          <w:szCs w:val="28"/>
          <w:u w:val="single"/>
        </w:rPr>
        <w:t>Napomena:</w:t>
      </w:r>
      <w:r w:rsidRPr="00D45746">
        <w:rPr>
          <w:sz w:val="28"/>
          <w:szCs w:val="28"/>
        </w:rPr>
        <w:t xml:space="preserve"> nema povećanja ali ni smanjenja niti na jednoj poziciji.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pravnih i fizičkih osoba, te donacije od s</w:t>
      </w:r>
      <w:r w:rsidRPr="00CA55EB">
        <w:rPr>
          <w:sz w:val="28"/>
          <w:szCs w:val="28"/>
        </w:rPr>
        <w:t>ubjekata izvan općeg proračuna</w:t>
      </w:r>
      <w:r>
        <w:rPr>
          <w:sz w:val="28"/>
          <w:szCs w:val="28"/>
        </w:rPr>
        <w:t xml:space="preserve"> previđeno je financiranje u 2019</w:t>
      </w:r>
      <w:r w:rsidRPr="00EE013D">
        <w:rPr>
          <w:sz w:val="28"/>
          <w:szCs w:val="28"/>
        </w:rPr>
        <w:t xml:space="preserve">. godini: 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u iznosu: 2.000,00 kuna, 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osobama izvan radnoga odnosa</w:t>
      </w:r>
      <w:r>
        <w:rPr>
          <w:sz w:val="28"/>
          <w:szCs w:val="28"/>
        </w:rPr>
        <w:t xml:space="preserve"> u iznosu: 1.000,00 kuna,</w:t>
      </w:r>
    </w:p>
    <w:p w:rsidR="00314E9F" w:rsidRDefault="00314E9F" w:rsidP="00314E9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nespomenuti rashodi poslovanja</w:t>
      </w:r>
      <w:r>
        <w:rPr>
          <w:sz w:val="28"/>
          <w:szCs w:val="28"/>
        </w:rPr>
        <w:t xml:space="preserve"> u iznosu: 6.000,00 kuna. </w:t>
      </w:r>
    </w:p>
    <w:p w:rsidR="00D45746" w:rsidRPr="00D45746" w:rsidRDefault="00D45746" w:rsidP="00D45746">
      <w:pPr>
        <w:spacing w:line="276" w:lineRule="auto"/>
        <w:jc w:val="both"/>
        <w:rPr>
          <w:sz w:val="28"/>
          <w:szCs w:val="28"/>
        </w:rPr>
      </w:pPr>
      <w:r w:rsidRPr="00D45746">
        <w:rPr>
          <w:b/>
          <w:sz w:val="28"/>
          <w:szCs w:val="28"/>
          <w:u w:val="single"/>
        </w:rPr>
        <w:t>Napomena:</w:t>
      </w:r>
      <w:r w:rsidRPr="00D45746">
        <w:rPr>
          <w:sz w:val="28"/>
          <w:szCs w:val="28"/>
        </w:rPr>
        <w:t xml:space="preserve"> </w:t>
      </w:r>
      <w:r>
        <w:rPr>
          <w:sz w:val="28"/>
          <w:szCs w:val="28"/>
        </w:rPr>
        <w:t>povećanje pozicije naknade ostalih troškova za 1.000,00 kuna zbog uplate donacije odvjetnika na račun škole kojima se pokrivaju troškovi smještaja za sudionike projekta Vi-</w:t>
      </w:r>
      <w:proofErr w:type="spellStart"/>
      <w:r>
        <w:rPr>
          <w:sz w:val="28"/>
          <w:szCs w:val="28"/>
        </w:rPr>
        <w:t>Vu</w:t>
      </w:r>
      <w:proofErr w:type="spellEnd"/>
      <w:r>
        <w:rPr>
          <w:sz w:val="28"/>
          <w:szCs w:val="28"/>
        </w:rPr>
        <w:t xml:space="preserve"> čiji je organizator Glazbena škola Josipa Runjanina u 2020. godini. </w:t>
      </w:r>
    </w:p>
    <w:p w:rsidR="00314E9F" w:rsidRPr="00DC41DB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Budući da je na dan 31.12.2018. godine Škola poslovala s manjkom u sklopu III. Izmjene i dopune financijskog plana za 2019. godinu uvršteno je i smanjenje vlastitih sredstava za 2019. godinu u visini 80.000,00 kn. Budući da se u 2019. godini planira ostvar</w:t>
      </w:r>
      <w:r w:rsidR="00567E1C">
        <w:rPr>
          <w:sz w:val="28"/>
          <w:szCs w:val="28"/>
        </w:rPr>
        <w:t xml:space="preserve">iti </w:t>
      </w:r>
      <w:r w:rsidR="00BA14BA">
        <w:rPr>
          <w:sz w:val="28"/>
          <w:szCs w:val="28"/>
        </w:rPr>
        <w:t>7.987.752,41</w:t>
      </w:r>
      <w:r w:rsidR="00895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kuna prihoda, te </w:t>
      </w:r>
      <w:r w:rsidR="00BA14BA">
        <w:rPr>
          <w:sz w:val="28"/>
          <w:szCs w:val="28"/>
        </w:rPr>
        <w:t>7.907.752,41</w:t>
      </w:r>
      <w:r w:rsidR="00895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kuna rashoda, iz nastaloga viška prihoda pokriti će se dio manjka 80.000,00 kuna koji je prenesen iz 2018. godine. Odgovorna osoba ravnatelj škole. 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Manjak je nastao zbog većeg ulaganja u nabavu proizvedene dugotrajne imovine (glazbeni instrumenti i oprema) tijekom 2018. godine, te se u 2019. godini donosi akcijski plan smanjenje rashoda: </w:t>
      </w: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314E9F" w:rsidTr="00FB22D2">
        <w:tc>
          <w:tcPr>
            <w:tcW w:w="3143" w:type="dxa"/>
            <w:shd w:val="clear" w:color="auto" w:fill="D9D9D9" w:themeFill="background1" w:themeFillShade="D9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2019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Pr="00294A35">
              <w:rPr>
                <w:b/>
                <w:sz w:val="24"/>
                <w:szCs w:val="28"/>
              </w:rPr>
              <w:t xml:space="preserve">. </w:t>
            </w:r>
            <w:r>
              <w:rPr>
                <w:b/>
                <w:sz w:val="24"/>
                <w:szCs w:val="28"/>
              </w:rPr>
              <w:t>g</w:t>
            </w:r>
            <w:r w:rsidRPr="00294A35">
              <w:rPr>
                <w:b/>
                <w:sz w:val="24"/>
                <w:szCs w:val="28"/>
              </w:rPr>
              <w:t>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314E9F" w:rsidTr="00FB22D2">
        <w:tc>
          <w:tcPr>
            <w:tcW w:w="3143" w:type="dxa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314E9F" w:rsidRPr="00294A35" w:rsidRDefault="00314E9F" w:rsidP="00FB22D2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- 82.029,07 kn</w:t>
            </w:r>
          </w:p>
        </w:tc>
      </w:tr>
    </w:tbl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314E9F" w:rsidRDefault="00314E9F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D45746" w:rsidRPr="00EE013D" w:rsidRDefault="00D45746" w:rsidP="00314E9F">
      <w:pPr>
        <w:spacing w:line="276" w:lineRule="auto"/>
        <w:jc w:val="both"/>
        <w:rPr>
          <w:sz w:val="28"/>
          <w:szCs w:val="28"/>
        </w:rPr>
      </w:pPr>
    </w:p>
    <w:p w:rsidR="00314E9F" w:rsidRPr="00DC41DB" w:rsidRDefault="00314E9F" w:rsidP="00314E9F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>
        <w:rPr>
          <w:b/>
          <w:sz w:val="28"/>
          <w:szCs w:val="28"/>
        </w:rPr>
        <w:t>ŠNOSTI U PRETHODNOJ GODINI (2018</w:t>
      </w:r>
      <w:r w:rsidRPr="00DC41DB">
        <w:rPr>
          <w:b/>
          <w:sz w:val="28"/>
          <w:szCs w:val="28"/>
        </w:rPr>
        <w:t xml:space="preserve">.) </w:t>
      </w:r>
    </w:p>
    <w:p w:rsidR="00314E9F" w:rsidRDefault="00314E9F" w:rsidP="00314E9F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314E9F" w:rsidRPr="00EE013D" w:rsidRDefault="00314E9F" w:rsidP="00314E9F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314E9F" w:rsidRPr="00DC41DB" w:rsidRDefault="00314E9F" w:rsidP="00314E9F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2018.</w:t>
      </w:r>
      <w:r w:rsidRPr="00DC41DB">
        <w:rPr>
          <w:rFonts w:ascii="Times New Roman" w:hAnsi="Times New Roman" w:cs="Times New Roman"/>
          <w:sz w:val="28"/>
          <w:szCs w:val="28"/>
        </w:rPr>
        <w:t xml:space="preserve"> godini o</w:t>
      </w:r>
      <w:r>
        <w:rPr>
          <w:rFonts w:ascii="Times New Roman" w:hAnsi="Times New Roman" w:cs="Times New Roman"/>
          <w:sz w:val="28"/>
          <w:szCs w:val="28"/>
        </w:rPr>
        <w:t>stvaruje s</w:t>
      </w:r>
      <w:r w:rsidRPr="00DC41DB">
        <w:rPr>
          <w:rFonts w:ascii="Times New Roman" w:hAnsi="Times New Roman" w:cs="Times New Roman"/>
          <w:sz w:val="28"/>
          <w:szCs w:val="28"/>
        </w:rPr>
        <w:t xml:space="preserve">e redovno odvijanje nastavnog procesa. Učenici Glazbene škole Josipa Runjanina </w:t>
      </w:r>
      <w:r>
        <w:rPr>
          <w:rFonts w:ascii="Times New Roman" w:hAnsi="Times New Roman" w:cs="Times New Roman"/>
          <w:sz w:val="28"/>
          <w:szCs w:val="28"/>
        </w:rPr>
        <w:t xml:space="preserve">sudjeluju </w:t>
      </w:r>
      <w:r w:rsidRPr="00DC41DB">
        <w:rPr>
          <w:rFonts w:ascii="Times New Roman" w:hAnsi="Times New Roman" w:cs="Times New Roman"/>
          <w:sz w:val="28"/>
          <w:szCs w:val="28"/>
        </w:rPr>
        <w:t>na natjecanjima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E9F" w:rsidRPr="00DC41DB" w:rsidRDefault="00314E9F" w:rsidP="00314E9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 xml:space="preserve">Sve učionice opremljene su glazbenim instrumetnima potrebnim za rad za svaki pojedini predmet. </w:t>
      </w:r>
    </w:p>
    <w:p w:rsidR="00314E9F" w:rsidRPr="00EE013D" w:rsidRDefault="00314E9F" w:rsidP="00314E9F">
      <w:pPr>
        <w:spacing w:line="276" w:lineRule="auto"/>
        <w:jc w:val="both"/>
        <w:rPr>
          <w:sz w:val="28"/>
          <w:szCs w:val="28"/>
          <w:highlight w:val="yellow"/>
        </w:rPr>
      </w:pPr>
    </w:p>
    <w:p w:rsidR="00314E9F" w:rsidRPr="00EE013D" w:rsidRDefault="00314E9F" w:rsidP="00314E9F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14E9F" w:rsidRPr="00EE013D" w:rsidRDefault="00314E9F" w:rsidP="00314E9F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E9F" w:rsidRDefault="00314E9F" w:rsidP="00314E9F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314E9F" w:rsidRPr="00626138" w:rsidRDefault="00314E9F" w:rsidP="00314E9F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14E9F" w:rsidRPr="00EE013D" w:rsidRDefault="00314E9F" w:rsidP="00314E9F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14E9F" w:rsidRPr="003D74FF" w:rsidRDefault="00314E9F" w:rsidP="00314E9F">
      <w:pPr>
        <w:spacing w:line="276" w:lineRule="auto"/>
      </w:pPr>
    </w:p>
    <w:p w:rsidR="00FB22D2" w:rsidRDefault="00FB22D2"/>
    <w:sectPr w:rsidR="00FB22D2" w:rsidSect="00FB22D2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7E" w:rsidRDefault="0071067E" w:rsidP="004154D1">
      <w:r>
        <w:separator/>
      </w:r>
    </w:p>
  </w:endnote>
  <w:endnote w:type="continuationSeparator" w:id="0">
    <w:p w:rsidR="0071067E" w:rsidRDefault="0071067E" w:rsidP="0041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FB22D2" w:rsidRDefault="00FB22D2">
        <w:pPr>
          <w:pStyle w:val="Footer"/>
          <w:jc w:val="right"/>
        </w:pPr>
        <w:fldSimple w:instr=" PAGE   \* MERGEFORMAT ">
          <w:r w:rsidR="00D45746">
            <w:rPr>
              <w:noProof/>
            </w:rPr>
            <w:t>10</w:t>
          </w:r>
        </w:fldSimple>
      </w:p>
    </w:sdtContent>
  </w:sdt>
  <w:p w:rsidR="00FB22D2" w:rsidRDefault="00FB2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7E" w:rsidRDefault="0071067E" w:rsidP="004154D1">
      <w:r>
        <w:separator/>
      </w:r>
    </w:p>
  </w:footnote>
  <w:footnote w:type="continuationSeparator" w:id="0">
    <w:p w:rsidR="0071067E" w:rsidRDefault="0071067E" w:rsidP="0041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D2" w:rsidRPr="00DC41DB" w:rsidRDefault="00FB22D2">
    <w:pPr>
      <w:pStyle w:val="Header"/>
      <w:jc w:val="center"/>
      <w:rPr>
        <w:b/>
        <w:i/>
      </w:rPr>
    </w:pPr>
    <w:r w:rsidRPr="00DC41DB">
      <w:rPr>
        <w:b/>
        <w:i/>
      </w:rPr>
      <w:t>Glazbena škola Josipa Runjanina, 32100 Vinkovci, OIB: 68922654649</w:t>
    </w:r>
  </w:p>
  <w:p w:rsidR="00FB22D2" w:rsidRDefault="00FB22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9F"/>
    <w:rsid w:val="000306C8"/>
    <w:rsid w:val="00214A5B"/>
    <w:rsid w:val="0030268C"/>
    <w:rsid w:val="00314E9F"/>
    <w:rsid w:val="00353C10"/>
    <w:rsid w:val="003761F0"/>
    <w:rsid w:val="003A3B2D"/>
    <w:rsid w:val="004154D1"/>
    <w:rsid w:val="00527CD8"/>
    <w:rsid w:val="00567E1C"/>
    <w:rsid w:val="005F0923"/>
    <w:rsid w:val="00672B79"/>
    <w:rsid w:val="00691775"/>
    <w:rsid w:val="006A4984"/>
    <w:rsid w:val="0070521A"/>
    <w:rsid w:val="0071067E"/>
    <w:rsid w:val="008142D1"/>
    <w:rsid w:val="00835313"/>
    <w:rsid w:val="00895681"/>
    <w:rsid w:val="00B12076"/>
    <w:rsid w:val="00BA14BA"/>
    <w:rsid w:val="00CD5014"/>
    <w:rsid w:val="00D45746"/>
    <w:rsid w:val="00EB7CD9"/>
    <w:rsid w:val="00EC30DF"/>
    <w:rsid w:val="00F2470E"/>
    <w:rsid w:val="00FB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14E9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14E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14E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14E9F"/>
    <w:pPr>
      <w:ind w:left="720"/>
      <w:contextualSpacing/>
    </w:pPr>
  </w:style>
  <w:style w:type="table" w:styleId="TableGrid">
    <w:name w:val="Table Grid"/>
    <w:basedOn w:val="TableNormal"/>
    <w:uiPriority w:val="59"/>
    <w:rsid w:val="00314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dcterms:created xsi:type="dcterms:W3CDTF">2019-11-15T13:12:00Z</dcterms:created>
  <dcterms:modified xsi:type="dcterms:W3CDTF">2019-11-28T07:18:00Z</dcterms:modified>
</cp:coreProperties>
</file>